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 争 性 磋 商 文 件</w:t>
      </w:r>
    </w:p>
    <w:p>
      <w:pPr>
        <w:pStyle w:val="null5"/>
        <w:jc w:val="center"/>
        <w:outlineLvl w:val="0"/>
      </w:pPr>
      <w:r>
        <w:rPr>
          <w:rFonts w:ascii="仿宋_GB2312" w:hAnsi="仿宋_GB2312" w:cs="仿宋_GB2312" w:eastAsia="仿宋_GB2312"/>
          <w:sz w:val="48"/>
          <w:b/>
        </w:rPr>
        <w:t>（工程类）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山东财经大学舜耕校区道路维修工程</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SDGP370000000202602006686</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山东财经大学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山东兴联项目管理有限公司</w:t>
      </w:r>
    </w:p>
    <w:p>
      <w:pPr>
        <w:pStyle w:val="null5"/>
        <w:jc w:val="center"/>
      </w:pPr>
      <w:r>
        <w:rPr>
          <w:rFonts w:ascii="仿宋_GB2312" w:hAnsi="仿宋_GB2312" w:cs="仿宋_GB2312" w:eastAsia="仿宋_GB2312"/>
        </w:rPr>
        <w:t>2026年07月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both"/>
      </w:pPr>
      <w:r>
        <w:rPr>
          <w:rFonts w:ascii="仿宋_GB2312" w:hAnsi="仿宋_GB2312" w:cs="仿宋_GB2312" w:eastAsia="仿宋_GB2312"/>
        </w:rPr>
        <w:t>山东兴联项目管理有限公司</w:t>
      </w:r>
      <w:r>
        <w:rPr>
          <w:rFonts w:ascii="仿宋_GB2312" w:hAnsi="仿宋_GB2312" w:cs="仿宋_GB2312" w:eastAsia="仿宋_GB2312"/>
        </w:rPr>
        <w:t>（以下简称“代理机构”）受</w:t>
      </w:r>
      <w:r>
        <w:rPr>
          <w:rFonts w:ascii="仿宋_GB2312" w:hAnsi="仿宋_GB2312" w:cs="仿宋_GB2312" w:eastAsia="仿宋_GB2312"/>
        </w:rPr>
        <w:t>山东财经大学</w:t>
      </w:r>
      <w:r>
        <w:rPr>
          <w:rFonts w:ascii="仿宋_GB2312" w:hAnsi="仿宋_GB2312" w:cs="仿宋_GB2312" w:eastAsia="仿宋_GB2312"/>
        </w:rPr>
        <w:t>以下简称“采购人”)委托，对</w:t>
      </w:r>
      <w:r>
        <w:rPr>
          <w:rFonts w:ascii="仿宋_GB2312" w:hAnsi="仿宋_GB2312" w:cs="仿宋_GB2312" w:eastAsia="仿宋_GB2312"/>
        </w:rPr>
        <w:t>山东财经大学舜耕校区道路维修工程</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w:t>
      </w:r>
      <w:r>
        <w:rPr>
          <w:rFonts w:ascii="仿宋_GB2312" w:hAnsi="仿宋_GB2312" w:cs="仿宋_GB2312" w:eastAsia="仿宋_GB2312"/>
          <w:sz w:val="28"/>
          <w:b/>
        </w:rPr>
        <w:t>SDGP370000000202602006686</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w:t>
      </w:r>
      <w:r>
        <w:rPr>
          <w:rFonts w:ascii="仿宋_GB2312" w:hAnsi="仿宋_GB2312" w:cs="仿宋_GB2312" w:eastAsia="仿宋_GB2312"/>
          <w:sz w:val="28"/>
          <w:b/>
        </w:rPr>
        <w:t>山东财经大学舜耕校区道路维修工程</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为优化校区基础设施，改善校园环境消除道路坑洼安全隐患，结合学校预算情况，拟对舜耕校区道路及路沿石进行维修。主要修复舜耕校区内破损路面，同时更换、整修受损路沿石、人行道花砖。保障通行顺畅出行安全。本项目严格遵守政府采购管理规定，择优确定施工单位，确保工程质量、安全及工期达标。项目施工质量须严格执行国家现行标准，质保期按照国家最新行业标准执行；项目施工全过程的质量、安全、进度等相关责任，均由成交供应商负责。</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1、具有独立承担民事责任的能力：具有独立承担民事责任的能力。</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5、投标人无不良信用记录。：投标人无不良信用记录。</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jc w:val="left"/>
      </w:pPr>
      <w:r>
        <w:rPr>
          <w:rFonts w:ascii="仿宋_GB2312" w:hAnsi="仿宋_GB2312" w:cs="仿宋_GB2312" w:eastAsia="仿宋_GB2312"/>
        </w:rPr>
        <w:t>7、符合法律、行政法规规定的其他条件：符合法律、行政法规规定的其他条件。</w:t>
      </w:r>
    </w:p>
    <w:p>
      <w:pPr>
        <w:pStyle w:val="null5"/>
        <w:ind w:firstLine="480"/>
        <w:jc w:val="both"/>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both"/>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特定资格：（1）具有市政公用工程施工总承包叁级及以上资质并具有有效的安全生产许可证，在人员、设备、资金等方面具有相应的施工能力。（2）拟派项目经理应持有市政公用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both"/>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both"/>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both"/>
      </w:pPr>
      <w:r>
        <w:rPr>
          <w:rFonts w:ascii="仿宋_GB2312" w:hAnsi="仿宋_GB2312" w:cs="仿宋_GB2312" w:eastAsia="仿宋_GB2312"/>
        </w:rPr>
        <w:t>一、提交响应文件截止时间及开启时间、方式、地点：详见采购公告。</w:t>
      </w:r>
    </w:p>
    <w:p>
      <w:pPr>
        <w:pStyle w:val="null5"/>
        <w:ind w:firstLine="480"/>
        <w:jc w:val="both"/>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both"/>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一、供应商参与本项目电子化采购活动的范围主要包括：获取竞争性磋商文件，编制、签章、加密并提交响应文件，参加开启、解密响应文件和电子评审等。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 xml:space="preserve">采购人： </w:t>
      </w:r>
      <w:r>
        <w:rPr>
          <w:rFonts w:ascii="仿宋_GB2312" w:hAnsi="仿宋_GB2312" w:cs="仿宋_GB2312" w:eastAsia="仿宋_GB2312"/>
        </w:rPr>
        <w:t>山东财经大学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济南市历下区二环东路7366号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0531-88583197</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山东兴联项目管理有限公司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济南市历下区工业南路三庆枫润大厦510室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 xml:space="preserve"> 陈德明</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0531-88925992</w:t>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 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采购包1：270,000.00元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如接受联合体，需符合以下要求：</w:t>
            </w:r>
          </w:p>
          <w:p>
            <w:pPr>
              <w:pStyle w:val="null5"/>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质量保证金</w:t>
            </w:r>
          </w:p>
        </w:tc>
        <w:tc>
          <w:tcPr>
            <w:tcW w:type="dxa" w:w="5814"/>
          </w:tcPr>
          <w:p>
            <w:pPr>
              <w:pStyle w:val="null5"/>
              <w:jc w:val="left"/>
            </w:pPr>
            <w:r>
              <w:rPr>
                <w:rFonts w:ascii="仿宋_GB2312" w:hAnsi="仿宋_GB2312" w:cs="仿宋_GB2312" w:eastAsia="仿宋_GB2312"/>
              </w:rPr>
              <w:t>采购包1：收取</w:t>
            </w:r>
          </w:p>
          <w:p>
            <w:pPr>
              <w:pStyle w:val="null5"/>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5"/>
              <w:jc w:val="left"/>
            </w:pPr>
            <w:r>
              <w:rPr>
                <w:rFonts w:ascii="仿宋_GB2312" w:hAnsi="仿宋_GB2312" w:cs="仿宋_GB2312" w:eastAsia="仿宋_GB2312"/>
              </w:rPr>
              <w:t>缴纳方式：</w:t>
            </w:r>
            <w:r>
              <w:rPr>
                <w:rFonts w:ascii="仿宋_GB2312" w:hAnsi="仿宋_GB2312" w:cs="仿宋_GB2312" w:eastAsia="仿宋_GB2312"/>
              </w:rPr>
              <w:t>保函/保险</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90日历日</w:t>
            </w:r>
          </w:p>
          <w:p>
            <w:pPr>
              <w:pStyle w:val="null5"/>
              <w:jc w:val="left"/>
            </w:pPr>
            <w:r>
              <w:rPr>
                <w:rFonts w:ascii="仿宋_GB2312" w:hAnsi="仿宋_GB2312" w:cs="仿宋_GB2312" w:eastAsia="仿宋_GB2312"/>
              </w:rPr>
              <w:t xml:space="preserve"> 响应文件未明确响应有效期或者少于前述规定天数的，其响应文件按无效处理。</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委计价格[2002]1980号、国家发展和改革委员会办公厅发改办价格[2003]857号文的收费标准，单项成交金额100万以内的部分按照90%收取，100万至1000万部分按照42%收取，1000万以上部分按照33%收取。见证费：成交供应商按照成交金额的1‰向见证单位交纳见证费，不足壹仟元按壹仟元收取。</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一、本磋商文件仅适用于本次竞争性磋商采购项目。</w:t>
      </w:r>
    </w:p>
    <w:p>
      <w:pPr>
        <w:pStyle w:val="null5"/>
        <w:ind w:firstLine="480"/>
        <w:jc w:val="both"/>
      </w:pPr>
      <w:r>
        <w:rPr>
          <w:rFonts w:ascii="仿宋_GB2312" w:hAnsi="仿宋_GB2312" w:cs="仿宋_GB2312" w:eastAsia="仿宋_GB2312"/>
        </w:rPr>
        <w:t xml:space="preserve">二、本磋商文件由 </w:t>
      </w:r>
      <w:r>
        <w:rPr>
          <w:rFonts w:ascii="仿宋_GB2312" w:hAnsi="仿宋_GB2312" w:cs="仿宋_GB2312" w:eastAsia="仿宋_GB2312"/>
        </w:rPr>
        <w:t>山东财经大学</w:t>
      </w:r>
      <w:r>
        <w:rPr>
          <w:rFonts w:ascii="仿宋_GB2312" w:hAnsi="仿宋_GB2312" w:cs="仿宋_GB2312" w:eastAsia="仿宋_GB2312"/>
        </w:rPr>
        <w:t xml:space="preserve"> 和 </w:t>
      </w:r>
      <w:r>
        <w:rPr>
          <w:rFonts w:ascii="仿宋_GB2312" w:hAnsi="仿宋_GB2312" w:cs="仿宋_GB2312" w:eastAsia="仿宋_GB2312"/>
        </w:rPr>
        <w:t>山东兴联项目管理有限公司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山东财经大学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山东兴联项目管理有限公司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both"/>
      </w:pPr>
      <w:r>
        <w:rPr>
          <w:rFonts w:ascii="仿宋_GB2312" w:hAnsi="仿宋_GB2312" w:cs="仿宋_GB2312" w:eastAsia="仿宋_GB2312"/>
        </w:rPr>
        <w:t>五、“电子评审”是指磋商小组开展资格审查、符合性审查、谈判、推荐成交候选供应商、出具磋商报告等活动。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both"/>
      </w:pPr>
      <w:r>
        <w:rPr>
          <w:rFonts w:ascii="仿宋_GB2312" w:hAnsi="仿宋_GB2312" w:cs="仿宋_GB2312" w:eastAsia="仿宋_GB2312"/>
        </w:rPr>
        <w:t>2.3.1.磋商文件的构成</w:t>
      </w:r>
    </w:p>
    <w:p>
      <w:pPr>
        <w:pStyle w:val="null5"/>
        <w:ind w:firstLine="480"/>
        <w:jc w:val="both"/>
      </w:pPr>
      <w:r>
        <w:rPr>
          <w:rFonts w:ascii="仿宋_GB2312" w:hAnsi="仿宋_GB2312" w:cs="仿宋_GB2312" w:eastAsia="仿宋_GB2312"/>
        </w:rPr>
        <w:t>磋商文件由采购人、代理机构编制，是项目采购活动开展的基本依据，主要包括以下内容：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一、竞争性磋商邀请；</w:t>
      </w:r>
    </w:p>
    <w:p>
      <w:pPr>
        <w:pStyle w:val="null5"/>
        <w:ind w:firstLine="480"/>
        <w:jc w:val="both"/>
      </w:pPr>
      <w:r>
        <w:rPr>
          <w:rFonts w:ascii="仿宋_GB2312" w:hAnsi="仿宋_GB2312" w:cs="仿宋_GB2312" w:eastAsia="仿宋_GB2312"/>
        </w:rPr>
        <w:t>二、供应商须知；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四、磋商过程中可实质性变动的内容；</w:t>
      </w:r>
    </w:p>
    <w:p>
      <w:pPr>
        <w:pStyle w:val="null5"/>
        <w:ind w:firstLine="480"/>
        <w:jc w:val="both"/>
      </w:pPr>
      <w:r>
        <w:rPr>
          <w:rFonts w:ascii="仿宋_GB2312" w:hAnsi="仿宋_GB2312" w:cs="仿宋_GB2312" w:eastAsia="仿宋_GB2312"/>
        </w:rPr>
        <w:t>五、评审办法；</w:t>
      </w:r>
    </w:p>
    <w:p>
      <w:pPr>
        <w:pStyle w:val="null5"/>
        <w:ind w:firstLine="480"/>
        <w:jc w:val="both"/>
      </w:pPr>
      <w:r>
        <w:rPr>
          <w:rFonts w:ascii="仿宋_GB2312" w:hAnsi="仿宋_GB2312" w:cs="仿宋_GB2312" w:eastAsia="仿宋_GB2312"/>
        </w:rPr>
        <w:t>六、响应文件格式；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2.3.2.磋商文件的澄清或者修改</w:t>
      </w:r>
    </w:p>
    <w:p>
      <w:pPr>
        <w:pStyle w:val="null5"/>
        <w:ind w:firstLine="480"/>
        <w:jc w:val="both"/>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both"/>
      </w:pPr>
      <w:r>
        <w:rPr>
          <w:rFonts w:ascii="仿宋_GB2312" w:hAnsi="仿宋_GB2312" w:cs="仿宋_GB2312" w:eastAsia="仿宋_GB2312"/>
        </w:rPr>
        <w:t>{{通用-磋商文件澄清或修改固定文字}}</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both"/>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pPr>
        <w:pStyle w:val="null5"/>
        <w:ind w:firstLine="480"/>
        <w:jc w:val="both"/>
      </w:pPr>
      <w:r>
        <w:rPr>
          <w:rFonts w:ascii="仿宋_GB2312" w:hAnsi="仿宋_GB2312" w:cs="仿宋_GB2312" w:eastAsia="仿宋_GB2312"/>
        </w:rPr>
        <w:t>（一）供应商的法定代表人为外籍人士的，法定代表人的签字和护照；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三、如因未翻译而造成对供应商的不利后果，由供应商承担。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除磋商文件中另有规定外，本项目均采用国家法定的计量单位。</w:t>
      </w:r>
    </w:p>
    <w:p>
      <w:pPr>
        <w:pStyle w:val="null5"/>
        <w:ind w:firstLine="480"/>
        <w:jc w:val="both"/>
      </w:pPr>
      <w:r>
        <w:rPr>
          <w:rFonts w:ascii="仿宋_GB2312" w:hAnsi="仿宋_GB2312" w:cs="仿宋_GB2312" w:eastAsia="仿宋_GB2312"/>
        </w:rPr>
        <w:t>2.4.3.响应货币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both"/>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一、供应商应认真核实本项目的工程量清单。</w:t>
      </w:r>
    </w:p>
    <w:p>
      <w:pPr>
        <w:pStyle w:val="null5"/>
        <w:ind w:firstLine="480"/>
        <w:jc w:val="both"/>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5"/>
        <w:ind w:firstLine="480"/>
        <w:jc w:val="both"/>
      </w:pPr>
      <w:r>
        <w:rPr>
          <w:rFonts w:ascii="仿宋_GB2312" w:hAnsi="仿宋_GB2312" w:cs="仿宋_GB2312" w:eastAsia="仿宋_GB2312"/>
        </w:rPr>
        <w:t>三、按照磋商文件第五章磋商办法规定进行价格修正的，修正后的报价经供应商加盖电子印章确认后产生约束力。未在规定时间内确认的，视同供应商不确认，作无效响应处理。</w:t>
      </w:r>
    </w:p>
    <w:p>
      <w:pPr>
        <w:pStyle w:val="null5"/>
        <w:ind w:firstLine="480"/>
        <w:jc w:val="both"/>
      </w:pPr>
      <w:r>
        <w:rPr>
          <w:rFonts w:ascii="仿宋_GB2312" w:hAnsi="仿宋_GB2312" w:cs="仿宋_GB2312" w:eastAsia="仿宋_GB2312"/>
        </w:rPr>
        <w:t>2.4.6.响应文件的编制、签章和加密</w:t>
      </w:r>
    </w:p>
    <w:p>
      <w:pPr>
        <w:pStyle w:val="null5"/>
        <w:ind w:firstLine="480"/>
        <w:jc w:val="both"/>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both"/>
      </w:pPr>
      <w:r>
        <w:rPr>
          <w:rFonts w:ascii="仿宋_GB2312" w:hAnsi="仿宋_GB2312" w:cs="仿宋_GB2312" w:eastAsia="仿宋_GB2312"/>
        </w:rPr>
        <w:t>二、供应商使用投标（响应）客户端编制响应文件，完成响应文件编制、加盖电子印章和加密。</w:t>
      </w:r>
    </w:p>
    <w:p>
      <w:pPr>
        <w:pStyle w:val="null5"/>
        <w:ind w:firstLine="480"/>
        <w:jc w:val="both"/>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both"/>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both"/>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both"/>
      </w:pPr>
      <w:r>
        <w:rPr>
          <w:rFonts w:ascii="仿宋_GB2312" w:hAnsi="仿宋_GB2312" w:cs="仿宋_GB2312" w:eastAsia="仿宋_GB2312"/>
        </w:rPr>
        <w:t>2.4.8.响应文件的补充、修改、撤回</w:t>
      </w:r>
    </w:p>
    <w:p>
      <w:pPr>
        <w:pStyle w:val="null5"/>
        <w:ind w:firstLine="480"/>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both"/>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both"/>
      </w:pPr>
      <w:r>
        <w:rPr>
          <w:rFonts w:ascii="仿宋_GB2312" w:hAnsi="仿宋_GB2312" w:cs="仿宋_GB2312" w:eastAsia="仿宋_GB2312"/>
        </w:rPr>
        <w:t>2.5.1.开启</w:t>
      </w:r>
    </w:p>
    <w:p>
      <w:pPr>
        <w:pStyle w:val="null5"/>
        <w:ind w:firstLine="480"/>
        <w:jc w:val="both"/>
      </w:pPr>
      <w:r>
        <w:rPr>
          <w:rFonts w:ascii="仿宋_GB2312" w:hAnsi="仿宋_GB2312" w:cs="仿宋_GB2312" w:eastAsia="仿宋_GB2312"/>
        </w:rPr>
        <w:t>2.5.1.1.开启程序</w:t>
      </w:r>
    </w:p>
    <w:p>
      <w:pPr>
        <w:pStyle w:val="null5"/>
        <w:ind w:firstLine="480"/>
        <w:jc w:val="both"/>
      </w:pPr>
      <w:r>
        <w:rPr>
          <w:rFonts w:ascii="仿宋_GB2312" w:hAnsi="仿宋_GB2312" w:cs="仿宋_GB2312" w:eastAsia="仿宋_GB2312"/>
        </w:rPr>
        <w:t>提交响应文件截止时间后，通过交易系统“开标/开启大厅”网上开启解密响应文件。</w:t>
      </w:r>
    </w:p>
    <w:p>
      <w:pPr>
        <w:pStyle w:val="null5"/>
        <w:ind w:firstLine="480"/>
        <w:jc w:val="both"/>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 3 家的，采购人或者代理机构应当终止采购活动，发布项目终止公告并说明原因，重新开展采购活动。</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both"/>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2.5.3.评审</w:t>
      </w:r>
    </w:p>
    <w:p>
      <w:pPr>
        <w:pStyle w:val="null5"/>
        <w:ind w:firstLine="480"/>
        <w:jc w:val="both"/>
      </w:pPr>
      <w:r>
        <w:rPr>
          <w:rFonts w:ascii="仿宋_GB2312" w:hAnsi="仿宋_GB2312" w:cs="仿宋_GB2312" w:eastAsia="仿宋_GB2312"/>
        </w:rPr>
        <w:t>详见磋商文件第五章。</w:t>
      </w:r>
    </w:p>
    <w:p>
      <w:pPr>
        <w:pStyle w:val="null5"/>
        <w:ind w:firstLine="480"/>
        <w:jc w:val="both"/>
      </w:pPr>
      <w:r>
        <w:rPr>
          <w:rFonts w:ascii="仿宋_GB2312" w:hAnsi="仿宋_GB2312" w:cs="仿宋_GB2312" w:eastAsia="仿宋_GB2312"/>
        </w:rPr>
        <w:t>2.5.4.成交通知书</w:t>
      </w:r>
    </w:p>
    <w:p>
      <w:pPr>
        <w:pStyle w:val="null5"/>
        <w:ind w:firstLine="480"/>
        <w:jc w:val="both"/>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both"/>
      </w:pPr>
      <w:r>
        <w:rPr>
          <w:rFonts w:ascii="仿宋_GB2312" w:hAnsi="仿宋_GB2312" w:cs="仿宋_GB2312" w:eastAsia="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pPr>
        <w:pStyle w:val="null5"/>
        <w:ind w:firstLine="480"/>
        <w:jc w:val="both"/>
      </w:pPr>
      <w:r>
        <w:rPr>
          <w:rFonts w:ascii="仿宋_GB2312" w:hAnsi="仿宋_GB2312" w:cs="仿宋_GB2312" w:eastAsia="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both"/>
      </w:pPr>
      <w:r>
        <w:rPr>
          <w:rFonts w:ascii="仿宋_GB2312" w:hAnsi="仿宋_GB2312" w:cs="仿宋_GB2312" w:eastAsia="仿宋_GB2312"/>
        </w:rPr>
        <w:t>三、政府采购合同自采购人和成交供应商在书面合同上签章之日起生效。</w:t>
      </w:r>
    </w:p>
    <w:p>
      <w:pPr>
        <w:pStyle w:val="null5"/>
        <w:ind w:firstLine="480"/>
        <w:jc w:val="both"/>
      </w:pPr>
      <w:r>
        <w:rPr>
          <w:rFonts w:ascii="仿宋_GB2312" w:hAnsi="仿宋_GB2312" w:cs="仿宋_GB2312" w:eastAsia="仿宋_GB2312"/>
        </w:rPr>
        <w:t>四、成交供应商完全遵守《中华人民共和国劳动合同法》有关规定和《中华人民共和国妇女权益保障法》中关于“劳动和社会保障权益 ”的有关要求。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一、严禁成交供应商将本项目合同转包。</w:t>
      </w:r>
    </w:p>
    <w:p>
      <w:pPr>
        <w:pStyle w:val="null5"/>
        <w:ind w:firstLine="480"/>
        <w:jc w:val="both"/>
      </w:pPr>
      <w:r>
        <w:rPr>
          <w:rFonts w:ascii="仿宋_GB2312" w:hAnsi="仿宋_GB2312" w:cs="仿宋_GB2312" w:eastAsia="仿宋_GB2312"/>
        </w:rPr>
        <w:t>二、成交供应商将合同转包的，将依法追究法律责任。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一、采购人与成交供应商应当根据合同的约定依法履行合同义务。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施工完成后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验收合格后交付</w:t>
      </w:r>
    </w:p>
    <w:p>
      <w:pPr>
        <w:pStyle w:val="null5"/>
        <w:ind w:firstLine="480"/>
        <w:jc w:val="both"/>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采购文件及响应文件范围内全部技术要求</w:t>
      </w:r>
    </w:p>
    <w:p>
      <w:pPr>
        <w:pStyle w:val="null5"/>
        <w:ind w:firstLine="480"/>
        <w:jc w:val="both"/>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采购文件及响应文件范围内全部商务要求</w:t>
      </w:r>
    </w:p>
    <w:p>
      <w:pPr>
        <w:pStyle w:val="null5"/>
        <w:ind w:firstLine="480"/>
        <w:jc w:val="both"/>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5"/>
        <w:ind w:firstLine="480"/>
        <w:jc w:val="both"/>
      </w:pPr>
      <w:r>
        <w:rPr>
          <w:rFonts w:ascii="仿宋_GB2312" w:hAnsi="仿宋_GB2312" w:cs="仿宋_GB2312" w:eastAsia="仿宋_GB2312"/>
        </w:rPr>
        <w:t>工程竣工经验收合格后，方可交付使用；未经验收或者验收不合格的，不得交付使用。</w:t>
      </w:r>
    </w:p>
    <w:p>
      <w:pPr>
        <w:pStyle w:val="null5"/>
        <w:ind w:firstLine="480"/>
        <w:jc w:val="both"/>
      </w:pPr>
      <w:r>
        <w:rPr>
          <w:rFonts w:ascii="仿宋_GB2312" w:hAnsi="仿宋_GB2312" w:cs="仿宋_GB2312" w:eastAsia="仿宋_GB2312"/>
        </w:rPr>
        <w:t>2.验收结果合格的，采购人应向成交供应商出具履约验收报告，成交供应商凭验收报告办理相关手续。</w:t>
      </w:r>
    </w:p>
    <w:p>
      <w:pPr>
        <w:pStyle w:val="null5"/>
        <w:ind w:firstLine="480"/>
        <w:jc w:val="both"/>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both"/>
      </w:pPr>
      <w:r>
        <w:rPr>
          <w:rFonts w:ascii="仿宋_GB2312" w:hAnsi="仿宋_GB2312" w:cs="仿宋_GB2312" w:eastAsia="仿宋_GB2312"/>
        </w:rPr>
        <w:t>有关人员对评审情况以及在评审过程中获悉的国家秘密、商业秘密负有保密责任。</w:t>
      </w:r>
    </w:p>
    <w:p>
      <w:pPr>
        <w:pStyle w:val="null5"/>
        <w:ind w:firstLine="480"/>
        <w:jc w:val="both"/>
      </w:pPr>
      <w:r>
        <w:rPr>
          <w:rFonts w:ascii="仿宋_GB2312" w:hAnsi="仿宋_GB2312" w:cs="仿宋_GB2312" w:eastAsia="仿宋_GB2312"/>
        </w:rPr>
        <w:t>2.7.2.供应商不得具有的情形</w:t>
      </w:r>
    </w:p>
    <w:p>
      <w:pPr>
        <w:pStyle w:val="null5"/>
        <w:ind w:firstLine="480"/>
        <w:jc w:val="both"/>
      </w:pPr>
      <w:r>
        <w:rPr>
          <w:rFonts w:ascii="仿宋_GB2312" w:hAnsi="仿宋_GB2312" w:cs="仿宋_GB2312" w:eastAsia="仿宋_GB2312"/>
        </w:rPr>
        <w:t>供应商参加磋商不得有下列情形：</w:t>
      </w:r>
    </w:p>
    <w:p>
      <w:pPr>
        <w:pStyle w:val="null5"/>
        <w:ind w:firstLine="480"/>
        <w:jc w:val="both"/>
      </w:pPr>
      <w:r>
        <w:rPr>
          <w:rFonts w:ascii="仿宋_GB2312" w:hAnsi="仿宋_GB2312" w:cs="仿宋_GB2312" w:eastAsia="仿宋_GB2312"/>
        </w:rPr>
        <w:t>一、有下列情形之一的，视为供应商串通响应：</w:t>
      </w:r>
    </w:p>
    <w:p>
      <w:pPr>
        <w:pStyle w:val="null5"/>
        <w:ind w:firstLine="480"/>
        <w:jc w:val="both"/>
      </w:pPr>
      <w:r>
        <w:rPr>
          <w:rFonts w:ascii="仿宋_GB2312" w:hAnsi="仿宋_GB2312" w:cs="仿宋_GB2312" w:eastAsia="仿宋_GB2312"/>
        </w:rPr>
        <w:t>（一）不同供应商的响应文件由同一单位或者个人编制；</w:t>
      </w:r>
    </w:p>
    <w:p>
      <w:pPr>
        <w:pStyle w:val="null5"/>
        <w:ind w:firstLine="480"/>
        <w:jc w:val="both"/>
      </w:pPr>
      <w:r>
        <w:rPr>
          <w:rFonts w:ascii="仿宋_GB2312" w:hAnsi="仿宋_GB2312" w:cs="仿宋_GB2312" w:eastAsia="仿宋_GB2312"/>
        </w:rPr>
        <w:t>（二）不同供应商委托同一单位或者个人办理投标事宜；</w:t>
      </w:r>
    </w:p>
    <w:p>
      <w:pPr>
        <w:pStyle w:val="null5"/>
        <w:ind w:firstLine="480"/>
        <w:jc w:val="both"/>
      </w:pPr>
      <w:r>
        <w:rPr>
          <w:rFonts w:ascii="仿宋_GB2312" w:hAnsi="仿宋_GB2312" w:cs="仿宋_GB2312" w:eastAsia="仿宋_GB2312"/>
        </w:rPr>
        <w:t>（三）不同供应商的响应文件载明的项目管理成员或者联系人员为同一人；</w:t>
      </w:r>
    </w:p>
    <w:p>
      <w:pPr>
        <w:pStyle w:val="null5"/>
        <w:ind w:firstLine="480"/>
        <w:jc w:val="both"/>
      </w:pPr>
      <w:r>
        <w:rPr>
          <w:rFonts w:ascii="仿宋_GB2312" w:hAnsi="仿宋_GB2312" w:cs="仿宋_GB2312" w:eastAsia="仿宋_GB2312"/>
        </w:rPr>
        <w:t>（四）不同供应商的响应文件异常一致或者响应报价呈规律性差异；</w:t>
      </w:r>
    </w:p>
    <w:p>
      <w:pPr>
        <w:pStyle w:val="null5"/>
        <w:ind w:firstLine="480"/>
        <w:jc w:val="both"/>
      </w:pPr>
      <w:r>
        <w:rPr>
          <w:rFonts w:ascii="仿宋_GB2312" w:hAnsi="仿宋_GB2312" w:cs="仿宋_GB2312" w:eastAsia="仿宋_GB2312"/>
        </w:rPr>
        <w:t>（五）不同供应商的响应文件相互混装；</w:t>
      </w:r>
    </w:p>
    <w:p>
      <w:pPr>
        <w:pStyle w:val="null5"/>
        <w:ind w:firstLine="480"/>
        <w:jc w:val="both"/>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both"/>
      </w:pPr>
      <w:r>
        <w:rPr>
          <w:rFonts w:ascii="仿宋_GB2312" w:hAnsi="仿宋_GB2312" w:cs="仿宋_GB2312" w:eastAsia="仿宋_GB2312"/>
        </w:rPr>
        <w:t>（二）供应商按照采购人或者代理机构的授意撤换、修改响应文件；</w:t>
      </w:r>
    </w:p>
    <w:p>
      <w:pPr>
        <w:pStyle w:val="null5"/>
        <w:ind w:firstLine="480"/>
        <w:jc w:val="both"/>
      </w:pPr>
      <w:r>
        <w:rPr>
          <w:rFonts w:ascii="仿宋_GB2312" w:hAnsi="仿宋_GB2312" w:cs="仿宋_GB2312" w:eastAsia="仿宋_GB2312"/>
        </w:rPr>
        <w:t>（三）供应商之间协商报价、技术方案等响应文件的实质性内容；</w:t>
      </w:r>
    </w:p>
    <w:p>
      <w:pPr>
        <w:pStyle w:val="null5"/>
        <w:ind w:firstLine="480"/>
        <w:jc w:val="both"/>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both"/>
      </w:pPr>
      <w:r>
        <w:rPr>
          <w:rFonts w:ascii="仿宋_GB2312" w:hAnsi="仿宋_GB2312" w:cs="仿宋_GB2312" w:eastAsia="仿宋_GB2312"/>
        </w:rPr>
        <w:t>（五）供应商之间事先约定由某一特定供应商成交；</w:t>
      </w:r>
    </w:p>
    <w:p>
      <w:pPr>
        <w:pStyle w:val="null5"/>
        <w:ind w:firstLine="480"/>
        <w:jc w:val="both"/>
      </w:pPr>
      <w:r>
        <w:rPr>
          <w:rFonts w:ascii="仿宋_GB2312" w:hAnsi="仿宋_GB2312" w:cs="仿宋_GB2312" w:eastAsia="仿宋_GB2312"/>
        </w:rPr>
        <w:t>（六）供应商之间商定部分供应商放弃参加政府采购活动或者放弃成交；</w:t>
      </w:r>
    </w:p>
    <w:p>
      <w:pPr>
        <w:pStyle w:val="null5"/>
        <w:ind w:firstLine="480"/>
        <w:jc w:val="both"/>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both"/>
      </w:pPr>
      <w:r>
        <w:rPr>
          <w:rFonts w:ascii="仿宋_GB2312" w:hAnsi="仿宋_GB2312" w:cs="仿宋_GB2312" w:eastAsia="仿宋_GB2312"/>
        </w:rPr>
        <w:t>三、提供虚假材料谋取成交；</w:t>
      </w:r>
    </w:p>
    <w:p>
      <w:pPr>
        <w:pStyle w:val="null5"/>
        <w:ind w:firstLine="480"/>
        <w:jc w:val="both"/>
      </w:pPr>
      <w:r>
        <w:rPr>
          <w:rFonts w:ascii="仿宋_GB2312" w:hAnsi="仿宋_GB2312" w:cs="仿宋_GB2312" w:eastAsia="仿宋_GB2312"/>
        </w:rPr>
        <w:t>四、采取不正当手段诋毁、排挤其他供应商；</w:t>
      </w:r>
    </w:p>
    <w:p>
      <w:pPr>
        <w:pStyle w:val="null5"/>
        <w:ind w:firstLine="480"/>
        <w:jc w:val="both"/>
      </w:pPr>
      <w:r>
        <w:rPr>
          <w:rFonts w:ascii="仿宋_GB2312" w:hAnsi="仿宋_GB2312" w:cs="仿宋_GB2312" w:eastAsia="仿宋_GB2312"/>
        </w:rPr>
        <w:t>五、与采购人或者代理机构、其他供应商恶意串通；</w:t>
      </w:r>
    </w:p>
    <w:p>
      <w:pPr>
        <w:pStyle w:val="null5"/>
        <w:ind w:firstLine="480"/>
        <w:jc w:val="both"/>
      </w:pPr>
      <w:r>
        <w:rPr>
          <w:rFonts w:ascii="仿宋_GB2312" w:hAnsi="仿宋_GB2312" w:cs="仿宋_GB2312" w:eastAsia="仿宋_GB2312"/>
        </w:rPr>
        <w:t>六、向采购人或者代理机构、磋商小组成员行贿或者提供其他不正当利益；</w:t>
      </w:r>
    </w:p>
    <w:p>
      <w:pPr>
        <w:pStyle w:val="null5"/>
        <w:ind w:firstLine="480"/>
        <w:jc w:val="both"/>
      </w:pPr>
      <w:r>
        <w:rPr>
          <w:rFonts w:ascii="仿宋_GB2312" w:hAnsi="仿宋_GB2312" w:cs="仿宋_GB2312" w:eastAsia="仿宋_GB2312"/>
        </w:rPr>
        <w:t>七、成交后无正当理由拒不与采购人签订政府采购合同；</w:t>
      </w:r>
    </w:p>
    <w:p>
      <w:pPr>
        <w:pStyle w:val="null5"/>
        <w:ind w:firstLine="480"/>
        <w:jc w:val="both"/>
      </w:pPr>
      <w:r>
        <w:rPr>
          <w:rFonts w:ascii="仿宋_GB2312" w:hAnsi="仿宋_GB2312" w:cs="仿宋_GB2312" w:eastAsia="仿宋_GB2312"/>
        </w:rPr>
        <w:t>八、未按照磋商文件确定的事项签订政府采购合同；</w:t>
      </w:r>
    </w:p>
    <w:p>
      <w:pPr>
        <w:pStyle w:val="null5"/>
        <w:ind w:firstLine="480"/>
        <w:jc w:val="both"/>
      </w:pPr>
      <w:r>
        <w:rPr>
          <w:rFonts w:ascii="仿宋_GB2312" w:hAnsi="仿宋_GB2312" w:cs="仿宋_GB2312" w:eastAsia="仿宋_GB2312"/>
        </w:rPr>
        <w:t>九、将政府采购合同转包或者违规分包；</w:t>
      </w:r>
    </w:p>
    <w:p>
      <w:pPr>
        <w:pStyle w:val="null5"/>
        <w:ind w:firstLine="480"/>
        <w:jc w:val="both"/>
      </w:pPr>
      <w:r>
        <w:rPr>
          <w:rFonts w:ascii="仿宋_GB2312" w:hAnsi="仿宋_GB2312" w:cs="仿宋_GB2312" w:eastAsia="仿宋_GB2312"/>
        </w:rPr>
        <w:t>十、提供假冒伪劣产品；</w:t>
      </w:r>
    </w:p>
    <w:p>
      <w:pPr>
        <w:pStyle w:val="null5"/>
        <w:ind w:firstLine="480"/>
        <w:jc w:val="both"/>
      </w:pPr>
      <w:r>
        <w:rPr>
          <w:rFonts w:ascii="仿宋_GB2312" w:hAnsi="仿宋_GB2312" w:cs="仿宋_GB2312" w:eastAsia="仿宋_GB2312"/>
        </w:rPr>
        <w:t>十一、擅自变更、中止或者终止政府采购合同；</w:t>
      </w:r>
    </w:p>
    <w:p>
      <w:pPr>
        <w:pStyle w:val="null5"/>
        <w:ind w:firstLine="480"/>
        <w:jc w:val="both"/>
      </w:pPr>
      <w:r>
        <w:rPr>
          <w:rFonts w:ascii="仿宋_GB2312" w:hAnsi="仿宋_GB2312" w:cs="仿宋_GB2312" w:eastAsia="仿宋_GB2312"/>
        </w:rPr>
        <w:t>十二、拒绝有关部门的监督检查或者向监督检查部门提供虚假情况；</w:t>
      </w:r>
    </w:p>
    <w:p>
      <w:pPr>
        <w:pStyle w:val="null5"/>
        <w:ind w:firstLine="480"/>
        <w:jc w:val="both"/>
      </w:pPr>
      <w:r>
        <w:rPr>
          <w:rFonts w:ascii="仿宋_GB2312" w:hAnsi="仿宋_GB2312" w:cs="仿宋_GB2312" w:eastAsia="仿宋_GB2312"/>
        </w:rPr>
        <w:t>十三、法律法规规定的其他禁止情形。</w:t>
      </w:r>
    </w:p>
    <w:p>
      <w:pPr>
        <w:pStyle w:val="null5"/>
        <w:ind w:firstLine="480"/>
        <w:jc w:val="both"/>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政府采购活动中，采购人员及相关人员与供应商有下列利害关系之一的，应当回避：</w:t>
      </w:r>
    </w:p>
    <w:p>
      <w:pPr>
        <w:pStyle w:val="null5"/>
        <w:ind w:firstLine="480"/>
        <w:jc w:val="both"/>
      </w:pPr>
      <w:r>
        <w:rPr>
          <w:rFonts w:ascii="仿宋_GB2312" w:hAnsi="仿宋_GB2312" w:cs="仿宋_GB2312" w:eastAsia="仿宋_GB2312"/>
        </w:rPr>
        <w:t>一、参加采购活动前 3 年内与供应商存在劳动关系；</w:t>
      </w:r>
    </w:p>
    <w:p>
      <w:pPr>
        <w:pStyle w:val="null5"/>
        <w:ind w:firstLine="480"/>
        <w:jc w:val="both"/>
      </w:pPr>
      <w:r>
        <w:rPr>
          <w:rFonts w:ascii="仿宋_GB2312" w:hAnsi="仿宋_GB2312" w:cs="仿宋_GB2312" w:eastAsia="仿宋_GB2312"/>
        </w:rPr>
        <w:t>二、参加采购活动前 3 年内担任供应商的董事、监事；</w:t>
      </w:r>
    </w:p>
    <w:p>
      <w:pPr>
        <w:pStyle w:val="null5"/>
        <w:ind w:firstLine="480"/>
        <w:jc w:val="both"/>
      </w:pPr>
      <w:r>
        <w:rPr>
          <w:rFonts w:ascii="仿宋_GB2312" w:hAnsi="仿宋_GB2312" w:cs="仿宋_GB2312" w:eastAsia="仿宋_GB2312"/>
        </w:rPr>
        <w:t>三、参加采购活动前 3 年内是供应商的控股股东或者实际控制人；</w:t>
      </w:r>
    </w:p>
    <w:p>
      <w:pPr>
        <w:pStyle w:val="null5"/>
        <w:ind w:firstLine="480"/>
        <w:jc w:val="both"/>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二、供应商询问、质疑的答复主体：</w:t>
      </w:r>
    </w:p>
    <w:p>
      <w:pPr>
        <w:pStyle w:val="null5"/>
        <w:ind w:firstLine="480"/>
        <w:jc w:val="both"/>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山东财经大学</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山东兴联项目管理有限公司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山东兴联项目管理有限公司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联系人：陈德明</w:t>
      </w:r>
    </w:p>
    <w:p>
      <w:pPr>
        <w:pStyle w:val="null5"/>
        <w:jc w:val="left"/>
      </w:pPr>
      <w:r>
        <w:rPr>
          <w:rFonts w:ascii="仿宋_GB2312" w:hAnsi="仿宋_GB2312" w:cs="仿宋_GB2312" w:eastAsia="仿宋_GB2312"/>
        </w:rPr>
        <w:t>联系电话：0531-88925992</w:t>
      </w:r>
    </w:p>
    <w:p>
      <w:pPr>
        <w:pStyle w:val="null5"/>
        <w:jc w:val="left"/>
      </w:pPr>
      <w:r>
        <w:rPr>
          <w:rFonts w:ascii="仿宋_GB2312" w:hAnsi="仿宋_GB2312" w:cs="仿宋_GB2312" w:eastAsia="仿宋_GB2312"/>
        </w:rPr>
        <w:t>地址：济南市工业南路 100 号三庆枫润大厦510 室</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both"/>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both"/>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（三）对成交结果提出质疑的，为成交结果公告期限届满之日。</w:t>
      </w:r>
    </w:p>
    <w:p>
      <w:pPr>
        <w:pStyle w:val="null5"/>
        <w:ind w:firstLine="480"/>
        <w:jc w:val="both"/>
      </w:pPr>
      <w:r>
        <w:rPr>
          <w:rFonts w:ascii="仿宋_GB2312" w:hAnsi="仿宋_GB2312" w:cs="仿宋_GB2312" w:eastAsia="仿宋_GB2312"/>
        </w:rPr>
        <w:t>五、供应商通过书面形式向采购人或者代理机构提交质疑资料。</w:t>
      </w:r>
    </w:p>
    <w:p>
      <w:pPr>
        <w:pStyle w:val="null5"/>
        <w:ind w:firstLine="480"/>
        <w:jc w:val="both"/>
      </w:pPr>
      <w:r>
        <w:rPr>
          <w:rFonts w:ascii="仿宋_GB2312" w:hAnsi="仿宋_GB2312" w:cs="仿宋_GB2312" w:eastAsia="仿宋_GB2312"/>
        </w:rPr>
        <w:t>六、供应商提出质疑时应当准备的资料：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both"/>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both"/>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both"/>
      </w:pPr>
      <w:r>
        <w:rPr>
          <w:rFonts w:ascii="仿宋_GB2312" w:hAnsi="仿宋_GB2312" w:cs="仿宋_GB2312" w:eastAsia="仿宋_GB2312"/>
        </w:rPr>
        <w:t>七、供应商对采购人或者代理机构的质疑答复不满意、采购人或者代理机构未在规定期限内作出答复的，供应商可以在答复期满后15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both"/>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 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270,000.00</w:t>
      </w:r>
    </w:p>
    <w:p>
      <w:pPr>
        <w:pStyle w:val="null5"/>
        <w:jc w:val="left"/>
      </w:pPr>
      <w:r>
        <w:rPr>
          <w:rFonts w:ascii="仿宋_GB2312" w:hAnsi="仿宋_GB2312" w:cs="仿宋_GB2312" w:eastAsia="仿宋_GB2312"/>
        </w:rPr>
        <w:t>采购包最高限价（元）: 270,000.00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舜耕校区道路维修工程</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270,000.00</w:t>
            </w:r>
          </w:p>
        </w:tc>
        <w:tc>
          <w:tcPr>
            <w:tcW w:type="dxa" w:w="923"/>
          </w:tcPr>
          <w:p>
            <w:pPr>
              <w:pStyle w:val="null5"/>
              <w:jc w:val="left"/>
            </w:pPr>
            <w:r>
              <w:rPr>
                <w:rFonts w:ascii="仿宋_GB2312" w:hAnsi="仿宋_GB2312" w:cs="仿宋_GB2312" w:eastAsia="仿宋_GB2312"/>
              </w:rPr>
              <w:t>建筑业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b/>
        </w:rPr>
        <w:t>报价要求</w:t>
      </w:r>
    </w:p>
    <w:p>
      <w:pPr>
        <w:pStyle w:val="null5"/>
        <w:ind w:firstLine="480"/>
        <w:jc w:val="left"/>
      </w:pPr>
      <w:r>
        <w:rPr>
          <w:rFonts w:ascii="仿宋_GB2312" w:hAnsi="仿宋_GB2312" w:cs="仿宋_GB2312" w:eastAsia="仿宋_GB2312"/>
          <w:b/>
        </w:rPr>
        <w:t>采购包1：</w:t>
      </w:r>
    </w:p>
    <w:p>
      <w:pPr>
        <w:pStyle w:val="null5"/>
        <w:jc w:val="left"/>
      </w:pPr>
      <w:r>
        <w:rPr>
          <w:rFonts w:ascii="仿宋_GB2312" w:hAnsi="仿宋_GB2312" w:cs="仿宋_GB2312" w:eastAsia="仿宋_GB2312"/>
          <w:b/>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b/>
              </w:rPr>
              <w:t>序号</w:t>
            </w:r>
          </w:p>
        </w:tc>
        <w:tc>
          <w:tcPr>
            <w:tcW w:type="dxa" w:w="3046"/>
          </w:tcPr>
          <w:p>
            <w:pPr>
              <w:pStyle w:val="null5"/>
              <w:jc w:val="left"/>
            </w:pPr>
            <w:r>
              <w:rPr>
                <w:rFonts w:ascii="仿宋_GB2312" w:hAnsi="仿宋_GB2312" w:cs="仿宋_GB2312" w:eastAsia="仿宋_GB2312"/>
                <w:b/>
              </w:rPr>
              <w:t>报价内容</w:t>
            </w:r>
          </w:p>
        </w:tc>
        <w:tc>
          <w:tcPr>
            <w:tcW w:type="dxa" w:w="554"/>
          </w:tcPr>
          <w:p>
            <w:pPr>
              <w:pStyle w:val="null5"/>
              <w:jc w:val="left"/>
            </w:pPr>
            <w:r>
              <w:rPr>
                <w:rFonts w:ascii="仿宋_GB2312" w:hAnsi="仿宋_GB2312" w:cs="仿宋_GB2312" w:eastAsia="仿宋_GB2312"/>
                <w:b/>
              </w:rPr>
              <w:t>计量单位</w:t>
            </w:r>
          </w:p>
        </w:tc>
        <w:tc>
          <w:tcPr>
            <w:tcW w:type="dxa" w:w="554"/>
          </w:tcPr>
          <w:p>
            <w:pPr>
              <w:pStyle w:val="null5"/>
              <w:jc w:val="left"/>
            </w:pPr>
            <w:r>
              <w:rPr>
                <w:rFonts w:ascii="仿宋_GB2312" w:hAnsi="仿宋_GB2312" w:cs="仿宋_GB2312" w:eastAsia="仿宋_GB2312"/>
                <w:b/>
              </w:rPr>
              <w:t>报价单位</w:t>
            </w:r>
          </w:p>
        </w:tc>
        <w:tc>
          <w:tcPr>
            <w:tcW w:type="dxa" w:w="1384"/>
          </w:tcPr>
          <w:p>
            <w:pPr>
              <w:pStyle w:val="null5"/>
              <w:jc w:val="left"/>
            </w:pPr>
            <w:r>
              <w:rPr>
                <w:rFonts w:ascii="仿宋_GB2312" w:hAnsi="仿宋_GB2312" w:cs="仿宋_GB2312" w:eastAsia="仿宋_GB2312"/>
                <w:b/>
              </w:rPr>
              <w:t>最高限价</w:t>
            </w:r>
          </w:p>
        </w:tc>
        <w:tc>
          <w:tcPr>
            <w:tcW w:type="dxa" w:w="1384"/>
          </w:tcPr>
          <w:p>
            <w:pPr>
              <w:pStyle w:val="null5"/>
              <w:jc w:val="left"/>
            </w:pPr>
            <w:r>
              <w:rPr>
                <w:rFonts w:ascii="仿宋_GB2312" w:hAnsi="仿宋_GB2312" w:cs="仿宋_GB2312" w:eastAsia="仿宋_GB2312"/>
                <w:b/>
              </w:rPr>
              <w:t>价款形式</w:t>
            </w:r>
          </w:p>
        </w:tc>
        <w:tc>
          <w:tcPr>
            <w:tcW w:type="dxa" w:w="1038"/>
          </w:tcPr>
          <w:p>
            <w:pPr>
              <w:pStyle w:val="null5"/>
              <w:jc w:val="left"/>
            </w:pPr>
            <w:r>
              <w:rPr>
                <w:rFonts w:ascii="仿宋_GB2312" w:hAnsi="仿宋_GB2312" w:cs="仿宋_GB2312" w:eastAsia="仿宋_GB2312"/>
                <w:b/>
              </w:rPr>
              <w:t>报价说明</w:t>
            </w:r>
          </w:p>
        </w:tc>
      </w:tr>
      <w:tr>
        <w:tc>
          <w:tcPr>
            <w:tcW w:type="dxa" w:w="346"/>
          </w:tcPr>
          <w:p>
            <w:pPr>
              <w:pStyle w:val="null5"/>
              <w:jc w:val="left"/>
            </w:pPr>
            <w:r>
              <w:rPr>
                <w:rFonts w:ascii="仿宋_GB2312" w:hAnsi="仿宋_GB2312" w:cs="仿宋_GB2312" w:eastAsia="仿宋_GB2312"/>
                <w:b/>
              </w:rPr>
              <w:t>1</w:t>
            </w:r>
          </w:p>
        </w:tc>
        <w:tc>
          <w:tcPr>
            <w:tcW w:type="dxa" w:w="3046"/>
          </w:tcPr>
          <w:p>
            <w:pPr>
              <w:pStyle w:val="null5"/>
              <w:jc w:val="left"/>
            </w:pPr>
            <w:r>
              <w:rPr>
                <w:rFonts w:ascii="仿宋_GB2312" w:hAnsi="仿宋_GB2312" w:cs="仿宋_GB2312" w:eastAsia="仿宋_GB2312"/>
                <w:b/>
              </w:rPr>
              <w:t>舜耕校区道路维修工程</w:t>
            </w:r>
          </w:p>
        </w:tc>
        <w:tc>
          <w:tcPr>
            <w:tcW w:type="dxa" w:w="554"/>
          </w:tcPr>
          <w:p>
            <w:pPr>
              <w:pStyle w:val="null5"/>
              <w:jc w:val="left"/>
            </w:pPr>
            <w:r>
              <w:rPr>
                <w:rFonts w:ascii="仿宋_GB2312" w:hAnsi="仿宋_GB2312" w:cs="仿宋_GB2312" w:eastAsia="仿宋_GB2312"/>
                <w:b/>
              </w:rPr>
              <w:t>项</w:t>
            </w:r>
          </w:p>
        </w:tc>
        <w:tc>
          <w:tcPr>
            <w:tcW w:type="dxa" w:w="554"/>
          </w:tcPr>
          <w:p>
            <w:pPr>
              <w:pStyle w:val="null5"/>
              <w:jc w:val="left"/>
            </w:pPr>
            <w:r>
              <w:rPr>
                <w:rFonts w:ascii="仿宋_GB2312" w:hAnsi="仿宋_GB2312" w:cs="仿宋_GB2312" w:eastAsia="仿宋_GB2312"/>
                <w:b/>
              </w:rPr>
              <w:t>元</w:t>
            </w:r>
          </w:p>
        </w:tc>
        <w:tc>
          <w:tcPr>
            <w:tcW w:type="dxa" w:w="1384"/>
          </w:tcPr>
          <w:p>
            <w:pPr>
              <w:pStyle w:val="null5"/>
              <w:jc w:val="right"/>
            </w:pPr>
            <w:r>
              <w:rPr>
                <w:rFonts w:ascii="仿宋_GB2312" w:hAnsi="仿宋_GB2312" w:cs="仿宋_GB2312" w:eastAsia="仿宋_GB2312"/>
                <w:b/>
              </w:rPr>
              <w:t>270,000.00</w:t>
            </w:r>
          </w:p>
        </w:tc>
        <w:tc>
          <w:tcPr>
            <w:tcW w:type="dxa" w:w="1384"/>
          </w:tcPr>
          <w:p>
            <w:pPr>
              <w:pStyle w:val="null5"/>
              <w:jc w:val="left"/>
            </w:pPr>
            <w:r>
              <w:rPr>
                <w:rFonts w:ascii="仿宋_GB2312" w:hAnsi="仿宋_GB2312" w:cs="仿宋_GB2312" w:eastAsia="仿宋_GB2312"/>
                <w:b/>
              </w:rPr>
              <w:t>总价</w:t>
            </w:r>
          </w:p>
        </w:tc>
        <w:tc>
          <w:tcPr>
            <w:tcW w:type="dxa" w:w="1038"/>
          </w:tcPr>
          <w:p>
            <w:pPr>
              <w:pStyle w:val="null5"/>
              <w:jc w:val="left"/>
            </w:pPr>
            <w:r>
              <w:rPr>
                <w:rFonts w:ascii="仿宋_GB2312" w:hAnsi="仿宋_GB2312" w:cs="仿宋_GB2312" w:eastAsia="仿宋_GB2312"/>
                <w:b/>
              </w:rPr>
              <w:t>无</w:t>
            </w:r>
          </w:p>
        </w:tc>
      </w:tr>
    </w:tbl>
    <w:p>
      <w:pPr>
        <w:pStyle w:val="null5"/>
        <w:jc w:val="left"/>
      </w:pPr>
      <w:r>
        <w:rPr>
          <w:rFonts w:ascii="仿宋_GB2312" w:hAnsi="仿宋_GB2312" w:cs="仿宋_GB2312" w:eastAsia="仿宋_GB2312"/>
          <w:b/>
        </w:rPr>
        <w:t>（2）报价明细要求：</w:t>
      </w:r>
    </w:p>
    <w:p>
      <w:pPr>
        <w:pStyle w:val="null5"/>
        <w:jc w:val="left"/>
      </w:pPr>
      <w:r>
        <w:rPr>
          <w:rFonts w:ascii="仿宋_GB2312" w:hAnsi="仿宋_GB2312" w:cs="仿宋_GB2312" w:eastAsia="仿宋_GB2312"/>
          <w:b/>
        </w:rPr>
        <w:t>舜耕校区道路维修工程</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b/>
              </w:rPr>
              <w:t>序号</w:t>
            </w:r>
          </w:p>
        </w:tc>
        <w:tc>
          <w:tcPr>
            <w:tcW w:type="dxa" w:w="2076"/>
          </w:tcPr>
          <w:p>
            <w:pPr>
              <w:pStyle w:val="null5"/>
              <w:jc w:val="left"/>
            </w:pPr>
            <w:r>
              <w:rPr>
                <w:rFonts w:ascii="仿宋_GB2312" w:hAnsi="仿宋_GB2312" w:cs="仿宋_GB2312" w:eastAsia="仿宋_GB2312"/>
                <w:b/>
              </w:rPr>
              <w:t>报价明细内容</w:t>
            </w:r>
          </w:p>
        </w:tc>
        <w:tc>
          <w:tcPr>
            <w:tcW w:type="dxa" w:w="2076"/>
          </w:tcPr>
          <w:p>
            <w:pPr>
              <w:pStyle w:val="null5"/>
              <w:jc w:val="left"/>
            </w:pPr>
            <w:r>
              <w:rPr>
                <w:rFonts w:ascii="仿宋_GB2312" w:hAnsi="仿宋_GB2312" w:cs="仿宋_GB2312" w:eastAsia="仿宋_GB2312"/>
                <w:b/>
              </w:rPr>
              <w:t>报价要求</w:t>
            </w:r>
          </w:p>
        </w:tc>
        <w:tc>
          <w:tcPr>
            <w:tcW w:type="dxa" w:w="415"/>
          </w:tcPr>
          <w:p>
            <w:pPr>
              <w:pStyle w:val="null5"/>
              <w:jc w:val="left"/>
            </w:pPr>
            <w:r>
              <w:rPr>
                <w:rFonts w:ascii="仿宋_GB2312" w:hAnsi="仿宋_GB2312" w:cs="仿宋_GB2312" w:eastAsia="仿宋_GB2312"/>
                <w:b/>
              </w:rPr>
              <w:t>计量单位</w:t>
            </w:r>
          </w:p>
        </w:tc>
        <w:tc>
          <w:tcPr>
            <w:tcW w:type="dxa" w:w="415"/>
          </w:tcPr>
          <w:p>
            <w:pPr>
              <w:pStyle w:val="null5"/>
              <w:jc w:val="left"/>
            </w:pPr>
            <w:r>
              <w:rPr>
                <w:rFonts w:ascii="仿宋_GB2312" w:hAnsi="仿宋_GB2312" w:cs="仿宋_GB2312" w:eastAsia="仿宋_GB2312"/>
                <w:b/>
              </w:rPr>
              <w:t>报价单位</w:t>
            </w:r>
          </w:p>
        </w:tc>
        <w:tc>
          <w:tcPr>
            <w:tcW w:type="dxa" w:w="831"/>
          </w:tcPr>
          <w:p>
            <w:pPr>
              <w:pStyle w:val="null5"/>
              <w:jc w:val="left"/>
            </w:pPr>
            <w:r>
              <w:rPr>
                <w:rFonts w:ascii="仿宋_GB2312" w:hAnsi="仿宋_GB2312" w:cs="仿宋_GB2312" w:eastAsia="仿宋_GB2312"/>
                <w:b/>
              </w:rPr>
              <w:t>最高限价</w:t>
            </w:r>
          </w:p>
        </w:tc>
        <w:tc>
          <w:tcPr>
            <w:tcW w:type="dxa" w:w="831"/>
          </w:tcPr>
          <w:p>
            <w:pPr>
              <w:pStyle w:val="null5"/>
              <w:jc w:val="left"/>
            </w:pPr>
            <w:r>
              <w:rPr>
                <w:rFonts w:ascii="仿宋_GB2312" w:hAnsi="仿宋_GB2312" w:cs="仿宋_GB2312" w:eastAsia="仿宋_GB2312"/>
                <w:b/>
              </w:rPr>
              <w:t>价款形式</w:t>
            </w:r>
          </w:p>
        </w:tc>
        <w:tc>
          <w:tcPr>
            <w:tcW w:type="dxa" w:w="1246"/>
          </w:tcPr>
          <w:p>
            <w:pPr>
              <w:pStyle w:val="null5"/>
              <w:jc w:val="left"/>
            </w:pPr>
            <w:r>
              <w:rPr>
                <w:rFonts w:ascii="仿宋_GB2312" w:hAnsi="仿宋_GB2312" w:cs="仿宋_GB2312" w:eastAsia="仿宋_GB2312"/>
                <w:b/>
              </w:rPr>
              <w:t>报价说明</w:t>
            </w:r>
          </w:p>
        </w:tc>
      </w:tr>
      <w:tr>
        <w:tc>
          <w:tcPr>
            <w:tcW w:type="dxa" w:w="415"/>
          </w:tcPr>
          <w:p>
            <w:pPr>
              <w:pStyle w:val="null5"/>
              <w:jc w:val="left"/>
            </w:pPr>
            <w:r>
              <w:rPr>
                <w:rFonts w:ascii="仿宋_GB2312" w:hAnsi="仿宋_GB2312" w:cs="仿宋_GB2312" w:eastAsia="仿宋_GB2312"/>
                <w:b/>
              </w:rPr>
              <w:t>1</w:t>
            </w:r>
          </w:p>
        </w:tc>
        <w:tc>
          <w:tcPr>
            <w:tcW w:type="dxa" w:w="2076"/>
          </w:tcPr>
          <w:p>
            <w:pPr>
              <w:pStyle w:val="null5"/>
              <w:jc w:val="left"/>
            </w:pPr>
            <w:r>
              <w:rPr>
                <w:rFonts w:ascii="仿宋_GB2312" w:hAnsi="仿宋_GB2312" w:cs="仿宋_GB2312" w:eastAsia="仿宋_GB2312"/>
                <w:b/>
              </w:rPr>
              <w:t>舜耕校区道路维修工程</w:t>
            </w:r>
          </w:p>
        </w:tc>
        <w:tc>
          <w:tcPr>
            <w:tcW w:type="dxa" w:w="2076"/>
          </w:tcPr>
          <w:p>
            <w:pPr>
              <w:pStyle w:val="null5"/>
              <w:jc w:val="left"/>
            </w:pPr>
            <w:r>
              <w:rPr>
                <w:rFonts w:ascii="仿宋_GB2312" w:hAnsi="仿宋_GB2312" w:cs="仿宋_GB2312" w:eastAsia="仿宋_GB2312"/>
                <w:b/>
              </w:rPr>
              <w:t>舜耕校区道路维修工程</w:t>
            </w:r>
          </w:p>
        </w:tc>
        <w:tc>
          <w:tcPr>
            <w:tcW w:type="dxa" w:w="415"/>
          </w:tcPr>
          <w:p>
            <w:pPr>
              <w:pStyle w:val="null5"/>
              <w:jc w:val="left"/>
            </w:pPr>
            <w:r>
              <w:rPr>
                <w:rFonts w:ascii="仿宋_GB2312" w:hAnsi="仿宋_GB2312" w:cs="仿宋_GB2312" w:eastAsia="仿宋_GB2312"/>
                <w:b/>
              </w:rPr>
              <w:t>项</w:t>
            </w:r>
          </w:p>
        </w:tc>
        <w:tc>
          <w:tcPr>
            <w:tcW w:type="dxa" w:w="415"/>
          </w:tcPr>
          <w:p>
            <w:pPr>
              <w:pStyle w:val="null5"/>
              <w:jc w:val="left"/>
            </w:pPr>
            <w:r>
              <w:rPr>
                <w:rFonts w:ascii="仿宋_GB2312" w:hAnsi="仿宋_GB2312" w:cs="仿宋_GB2312" w:eastAsia="仿宋_GB2312"/>
                <w:b/>
              </w:rPr>
              <w:t>元</w:t>
            </w:r>
          </w:p>
        </w:tc>
        <w:tc>
          <w:tcPr>
            <w:tcW w:type="dxa" w:w="831"/>
          </w:tcPr>
          <w:p>
            <w:pPr>
              <w:pStyle w:val="null5"/>
              <w:jc w:val="right"/>
            </w:pPr>
            <w:r>
              <w:rPr>
                <w:rFonts w:ascii="仿宋_GB2312" w:hAnsi="仿宋_GB2312" w:cs="仿宋_GB2312" w:eastAsia="仿宋_GB2312"/>
                <w:b/>
              </w:rPr>
              <w:t>270,000.00</w:t>
            </w:r>
          </w:p>
        </w:tc>
        <w:tc>
          <w:tcPr>
            <w:tcW w:type="dxa" w:w="831"/>
          </w:tcPr>
          <w:p>
            <w:pPr>
              <w:pStyle w:val="null5"/>
              <w:jc w:val="left"/>
            </w:pPr>
            <w:r>
              <w:rPr>
                <w:rFonts w:ascii="仿宋_GB2312" w:hAnsi="仿宋_GB2312" w:cs="仿宋_GB2312" w:eastAsia="仿宋_GB2312"/>
                <w:b/>
              </w:rPr>
              <w:t>总价</w:t>
            </w:r>
          </w:p>
        </w:tc>
        <w:tc>
          <w:tcPr>
            <w:tcW w:type="dxa" w:w="1246"/>
          </w:tcPr>
          <w:p>
            <w:pPr>
              <w:pStyle w:val="null5"/>
              <w:jc w:val="left"/>
            </w:pPr>
            <w:r>
              <w:rPr>
                <w:rFonts w:ascii="仿宋_GB2312" w:hAnsi="仿宋_GB2312" w:cs="仿宋_GB2312" w:eastAsia="仿宋_GB2312"/>
                <w:b/>
              </w:rPr>
              <w:t>无</w:t>
            </w:r>
          </w:p>
        </w:tc>
      </w:tr>
    </w:tbl>
    <w:p>
      <w:pPr>
        <w:pStyle w:val="null5"/>
        <w:ind w:firstLine="480"/>
        <w:jc w:val="left"/>
      </w:pPr>
      <w:r>
        <w:rPr>
          <w:rFonts w:ascii="仿宋_GB2312" w:hAnsi="仿宋_GB2312" w:cs="仿宋_GB2312" w:eastAsia="仿宋_GB2312"/>
          <w:b/>
        </w:rPr>
        <w:t>本项目涉及核心产品：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b/>
        </w:rPr>
        <w:t>本项目涉及采购进口产品：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b/>
        </w:rPr>
        <w:t>本项目涉及强制采购节能产品：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b/>
        </w:rPr>
        <w:t>本项目涉及优先采购节能产品：</w:t>
      </w:r>
    </w:p>
    <w:p>
      <w:pPr>
        <w:pStyle w:val="null5"/>
        <w:ind w:firstLine="480"/>
        <w:jc w:val="left"/>
      </w:pPr>
      <w:r>
        <w:rPr>
          <w:rFonts w:ascii="仿宋_GB2312" w:hAnsi="仿宋_GB2312" w:cs="仿宋_GB2312" w:eastAsia="仿宋_GB2312"/>
          <w:b/>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b/>
              </w:rPr>
              <w:t>序号</w:t>
            </w:r>
          </w:p>
        </w:tc>
        <w:tc>
          <w:tcPr>
            <w:tcW w:type="dxa" w:w="2492"/>
          </w:tcPr>
          <w:p>
            <w:pPr>
              <w:pStyle w:val="null5"/>
              <w:jc w:val="center"/>
            </w:pPr>
            <w:r>
              <w:rPr>
                <w:rFonts w:ascii="仿宋_GB2312" w:hAnsi="仿宋_GB2312" w:cs="仿宋_GB2312" w:eastAsia="仿宋_GB2312"/>
                <w:b/>
              </w:rPr>
              <w:t>采购品目名称</w:t>
            </w:r>
          </w:p>
        </w:tc>
        <w:tc>
          <w:tcPr>
            <w:tcW w:type="dxa" w:w="2492"/>
          </w:tcPr>
          <w:p>
            <w:pPr>
              <w:pStyle w:val="null5"/>
              <w:jc w:val="center"/>
            </w:pPr>
            <w:r>
              <w:rPr>
                <w:rFonts w:ascii="仿宋_GB2312" w:hAnsi="仿宋_GB2312" w:cs="仿宋_GB2312" w:eastAsia="仿宋_GB2312"/>
                <w:b/>
              </w:rPr>
              <w:t>标的名称</w:t>
            </w:r>
          </w:p>
        </w:tc>
        <w:tc>
          <w:tcPr>
            <w:tcW w:type="dxa" w:w="2492"/>
          </w:tcPr>
          <w:p>
            <w:pPr>
              <w:pStyle w:val="null5"/>
              <w:jc w:val="center"/>
            </w:pPr>
            <w:r>
              <w:rPr>
                <w:rFonts w:ascii="仿宋_GB2312" w:hAnsi="仿宋_GB2312" w:cs="仿宋_GB2312" w:eastAsia="仿宋_GB2312"/>
                <w:b/>
              </w:rPr>
              <w:t>产品名称</w:t>
            </w:r>
          </w:p>
        </w:tc>
      </w:tr>
      <w:tr>
        <w:tc>
          <w:tcPr>
            <w:tcW w:type="dxa" w:w="8307"/>
            <w:gridSpan w:val="4"/>
          </w:tcPr>
          <w:p>
            <w:pPr>
              <w:pStyle w:val="null5"/>
              <w:jc w:val="center"/>
            </w:pPr>
            <w:r>
              <w:rPr>
                <w:rFonts w:ascii="仿宋_GB2312" w:hAnsi="仿宋_GB2312" w:cs="仿宋_GB2312" w:eastAsia="仿宋_GB2312"/>
                <w:b/>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标的名称：舜耕校区道路维修工程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报价方式</w:t>
            </w:r>
          </w:p>
        </w:tc>
        <w:tc>
          <w:tcPr>
            <w:tcW w:type="dxa" w:w="2076"/>
          </w:tcPr>
          <w:p>
            <w:pPr>
              <w:pStyle w:val="null5"/>
              <w:jc w:val="left"/>
            </w:pPr>
            <w:r>
              <w:rPr>
                <w:rFonts w:ascii="仿宋_GB2312" w:hAnsi="仿宋_GB2312" w:cs="仿宋_GB2312" w:eastAsia="仿宋_GB2312"/>
                <w:sz w:val="24"/>
              </w:rPr>
              <w:t>本项目报价</w:t>
            </w:r>
            <w:r>
              <w:rPr>
                <w:rFonts w:ascii="仿宋_GB2312" w:hAnsi="仿宋_GB2312" w:cs="仿宋_GB2312" w:eastAsia="仿宋_GB2312"/>
                <w:sz w:val="24"/>
              </w:rPr>
              <w:t>采用</w:t>
            </w:r>
            <w:r>
              <w:rPr>
                <w:rFonts w:ascii="仿宋_GB2312" w:hAnsi="仿宋_GB2312" w:cs="仿宋_GB2312" w:eastAsia="仿宋_GB2312"/>
                <w:sz w:val="24"/>
              </w:rPr>
              <w:t>全费用综合单价</w:t>
            </w:r>
            <w:r>
              <w:rPr>
                <w:rFonts w:ascii="仿宋_GB2312" w:hAnsi="仿宋_GB2312" w:cs="仿宋_GB2312" w:eastAsia="仿宋_GB2312"/>
                <w:sz w:val="24"/>
              </w:rPr>
              <w:t>报价方式。</w:t>
            </w:r>
            <w:r>
              <w:rPr>
                <w:rFonts w:ascii="仿宋_GB2312" w:hAnsi="仿宋_GB2312" w:cs="仿宋_GB2312" w:eastAsia="仿宋_GB2312"/>
                <w:sz w:val="24"/>
              </w:rPr>
              <w:t>工程内容详见工程量清单，供应商根据工程量清单，结合本项目特点、现场情况、</w:t>
            </w:r>
            <w:r>
              <w:rPr>
                <w:rFonts w:ascii="仿宋_GB2312" w:hAnsi="仿宋_GB2312" w:cs="仿宋_GB2312" w:eastAsia="仿宋_GB2312"/>
                <w:sz w:val="24"/>
              </w:rPr>
              <w:t>采购</w:t>
            </w:r>
            <w:r>
              <w:rPr>
                <w:rFonts w:ascii="仿宋_GB2312" w:hAnsi="仿宋_GB2312" w:cs="仿宋_GB2312" w:eastAsia="仿宋_GB2312"/>
                <w:sz w:val="24"/>
              </w:rPr>
              <w:t>文件要求及工期、质量等方面的要求，综合考虑人工费、材料费、机械费、管理费、利润、措施费、税金、文明施工、材料运输费、设备装卸车费、安装费、检测费、保险费、成品保护费、资料整理费及一切风险费用等，综合考虑，按照</w:t>
            </w:r>
            <w:r>
              <w:rPr>
                <w:rFonts w:ascii="仿宋_GB2312" w:hAnsi="仿宋_GB2312" w:cs="仿宋_GB2312" w:eastAsia="仿宋_GB2312"/>
                <w:sz w:val="24"/>
              </w:rPr>
              <w:t>全费用综合单价</w:t>
            </w:r>
            <w:r>
              <w:rPr>
                <w:rFonts w:ascii="仿宋_GB2312" w:hAnsi="仿宋_GB2312" w:cs="仿宋_GB2312" w:eastAsia="仿宋_GB2312"/>
                <w:sz w:val="24"/>
              </w:rPr>
              <w:t>进行报价。</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项目要求</w:t>
            </w:r>
          </w:p>
        </w:tc>
        <w:tc>
          <w:tcPr>
            <w:tcW w:type="dxa" w:w="2076"/>
          </w:tcPr>
          <w:p>
            <w:pPr>
              <w:pStyle w:val="null5"/>
              <w:ind w:firstLine="480"/>
              <w:jc w:val="both"/>
            </w:pPr>
            <w:r>
              <w:rPr>
                <w:rFonts w:ascii="仿宋_GB2312" w:hAnsi="仿宋_GB2312" w:cs="仿宋_GB2312" w:eastAsia="仿宋_GB2312"/>
                <w:sz w:val="24"/>
              </w:rPr>
              <w:t>1、依据设计施工和技术文件要求，本项目的选材及标准（颜色、材质）要符合国家相关标准规范，如各标准及规范要求有出入则以较严格者为准。按照政府采购要求，属于强制节能产品清单的请按强制节能产品投报。</w:t>
            </w:r>
          </w:p>
          <w:p>
            <w:pPr>
              <w:pStyle w:val="null5"/>
              <w:ind w:firstLine="480"/>
              <w:jc w:val="both"/>
            </w:pPr>
            <w:r>
              <w:rPr>
                <w:rFonts w:ascii="仿宋_GB2312" w:hAnsi="仿宋_GB2312" w:cs="仿宋_GB2312" w:eastAsia="仿宋_GB2312"/>
                <w:sz w:val="24"/>
              </w:rPr>
              <w:t>2、执行国家、省、市现行的工程质量验收规范、施工技术标准、程序。</w:t>
            </w:r>
          </w:p>
          <w:p>
            <w:pPr>
              <w:pStyle w:val="null5"/>
              <w:ind w:firstLine="480"/>
              <w:jc w:val="both"/>
            </w:pPr>
            <w:r>
              <w:rPr>
                <w:rFonts w:ascii="仿宋_GB2312" w:hAnsi="仿宋_GB2312" w:cs="仿宋_GB2312" w:eastAsia="仿宋_GB2312"/>
                <w:sz w:val="24"/>
              </w:rPr>
              <w:t>3、验收合格、交付使用前，由成交供应商负责项目保护工作。</w:t>
            </w:r>
          </w:p>
          <w:p>
            <w:pPr>
              <w:pStyle w:val="null5"/>
              <w:ind w:firstLine="480"/>
              <w:jc w:val="both"/>
            </w:pPr>
            <w:r>
              <w:rPr>
                <w:rFonts w:ascii="仿宋_GB2312" w:hAnsi="仿宋_GB2312" w:cs="仿宋_GB2312" w:eastAsia="仿宋_GB2312"/>
                <w:sz w:val="24"/>
              </w:rPr>
              <w:t>4、施工期间，成交供应商须负责做好施工现场与居民及城管、环保等相关管理部门等全部周边关系协调工作（含城管执法、垃圾外运、环保等手续办理），因协调所产生的费用由成交供应商承担。因成交供应商协调不利导致的工程延期，责任由成交供应商承担。</w:t>
            </w:r>
          </w:p>
          <w:p>
            <w:pPr>
              <w:pStyle w:val="null5"/>
              <w:ind w:firstLine="480"/>
              <w:jc w:val="both"/>
            </w:pPr>
            <w:r>
              <w:rPr>
                <w:rFonts w:ascii="仿宋_GB2312" w:hAnsi="仿宋_GB2312" w:cs="仿宋_GB2312" w:eastAsia="仿宋_GB2312"/>
                <w:sz w:val="24"/>
              </w:rPr>
              <w:t>5、安全文明施工要求：</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1）对全体职工进行安全文明施工教育，强化全文明施工意识，使职工从思想上意识到安全文明施工的重要性，杜绝发生安全事故，杜绝各种不良现象在工地出现，并确定专人负责安全文明施工管理。</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2）保证校容校貌，施工车辆不得带泥上路，路面泥土派专人及时清除干净。不得产生大的施工噪音，施工时间段需合理安排，防止扰民，保证学生正常作息。遵守校园安全管理规定。</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3）严格整理物料堆放、机械停放场地，施工机械进场必须安全检查，并做好记录，检查合格才可使用。</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4）施工现场采取防止有害烟尘和恶臭气体的灭害措施。</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5）管理人员一律佩戴工作牌上岗。</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6）施工现场管理人员要合理的安排施工时间，不能影响周围居民的正常休息，不得影响交通道路的通行。</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7）违反相关部门规定受到处罚的，由乙方承担全部处罚金。</w:t>
            </w:r>
          </w:p>
          <w:p>
            <w:pPr>
              <w:pStyle w:val="null5"/>
              <w:ind w:firstLine="480"/>
              <w:jc w:val="both"/>
            </w:pPr>
            <w:r>
              <w:rPr>
                <w:rFonts w:ascii="仿宋_GB2312" w:hAnsi="仿宋_GB2312" w:cs="仿宋_GB2312" w:eastAsia="仿宋_GB2312"/>
                <w:sz w:val="24"/>
              </w:rPr>
              <w:t>（</w:t>
            </w:r>
            <w:r>
              <w:rPr>
                <w:rFonts w:ascii="仿宋_GB2312" w:hAnsi="仿宋_GB2312" w:cs="仿宋_GB2312" w:eastAsia="仿宋_GB2312"/>
                <w:sz w:val="24"/>
              </w:rPr>
              <w:t>8）在施工过程中，乙方对工程量等有异议时，需经甲方确认后进行施工，若擅自施工其工程款不予支付，若需变更，乙方需提出书面申请，经甲方书面确认后方可施工。</w:t>
            </w:r>
          </w:p>
          <w:p>
            <w:pPr>
              <w:pStyle w:val="null5"/>
              <w:ind w:firstLine="480"/>
              <w:jc w:val="both"/>
            </w:pPr>
            <w:r>
              <w:rPr>
                <w:rFonts w:ascii="仿宋_GB2312" w:hAnsi="仿宋_GB2312" w:cs="仿宋_GB2312" w:eastAsia="仿宋_GB2312"/>
                <w:sz w:val="24"/>
              </w:rPr>
              <w:t>6、施工现场，供应商所配备的项目班子成员须与响应文件中所投报的项目班子成员一致。</w:t>
            </w:r>
          </w:p>
          <w:p>
            <w:pPr>
              <w:pStyle w:val="null5"/>
              <w:ind w:firstLine="420"/>
              <w:jc w:val="both"/>
            </w:pPr>
            <w:r>
              <w:rPr>
                <w:rFonts w:ascii="仿宋_GB2312" w:hAnsi="仿宋_GB2312" w:cs="仿宋_GB2312" w:eastAsia="仿宋_GB2312"/>
                <w:sz w:val="24"/>
              </w:rPr>
              <w:t>7、供应商应充分勘察现场，因本工程而发生的周边环境、关系协调处理费用由供应商自行解决，在总报价内考虑。</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工程量清单</w:t>
            </w:r>
          </w:p>
        </w:tc>
        <w:tc>
          <w:tcPr>
            <w:tcW w:type="dxa" w:w="2076"/>
          </w:tcPr>
          <w:p>
            <w:pPr>
              <w:pStyle w:val="null5"/>
              <w:jc w:val="left"/>
            </w:pPr>
            <w:r>
              <w:rPr>
                <w:rFonts w:ascii="仿宋_GB2312" w:hAnsi="仿宋_GB2312" w:cs="仿宋_GB2312" w:eastAsia="仿宋_GB2312"/>
              </w:rPr>
              <w:t>详见附件</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绿色建材要求1</w:t>
            </w:r>
          </w:p>
        </w:tc>
        <w:tc>
          <w:tcPr>
            <w:tcW w:type="dxa" w:w="4153"/>
          </w:tcPr>
          <w:p>
            <w:pPr>
              <w:pStyle w:val="null5"/>
              <w:jc w:val="left"/>
            </w:pPr>
            <w:r>
              <w:rPr>
                <w:rFonts w:ascii="仿宋_GB2312" w:hAnsi="仿宋_GB2312" w:cs="仿宋_GB2312" w:eastAsia="仿宋_GB2312"/>
              </w:rPr>
              <w:t>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绿色建材要求2</w:t>
            </w:r>
          </w:p>
        </w:tc>
        <w:tc>
          <w:tcPr>
            <w:tcW w:type="dxa" w:w="4153"/>
          </w:tcPr>
          <w:p>
            <w:pPr>
              <w:pStyle w:val="null5"/>
              <w:jc w:val="left"/>
            </w:pPr>
            <w:r>
              <w:rPr>
                <w:rFonts w:ascii="仿宋_GB2312" w:hAnsi="仿宋_GB2312" w:cs="仿宋_GB2312" w:eastAsia="仿宋_GB2312"/>
              </w:rPr>
              <w:t>材料进场时，应提供绿色材料的检测报告（甲醛、苯等有害物质检测）、环境污染物检测报告等。</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工期：7个日历日（具体开工日期以甲方通知为准）。</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建设地点:山东财经大学舜耕校区。</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w:t>
              <w:br/>
              <w:t>合同签订，项目验收合格后支付至合同金额的80%，审计完后供应商向采购人支付审定金额的3%作为质保金，采购人向乙方支付审定金额100%。缺陷责任期满后无质量问题无息退还质保金。</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质保期：自项目竣工验收合格之日起2年。</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缺陷责任期：自项目竣工验收合格之日起2年。</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勘察现场：联系人：宋老师；联系方式：0531-88596111：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both"/>
      </w:pPr>
      <w:r>
        <w:rPr>
          <w:rFonts w:ascii="仿宋_GB2312" w:hAnsi="仿宋_GB2312" w:cs="仿宋_GB2312" w:eastAsia="仿宋_GB2312"/>
        </w:rPr>
        <w:t>磋商小组可以根据磋商文件和磋商情况实质性变动以下内容：</w:t>
      </w:r>
    </w:p>
    <w:p>
      <w:pPr>
        <w:pStyle w:val="null5"/>
        <w:ind w:firstLine="480"/>
        <w:jc w:val="both"/>
      </w:pPr>
      <w:r>
        <w:rPr>
          <w:rFonts w:ascii="仿宋_GB2312" w:hAnsi="仿宋_GB2312" w:cs="仿宋_GB2312" w:eastAsia="仿宋_GB2312"/>
        </w:rPr>
        <w:t>一、第三章“技术、服务及其他要求”中“3.2.技术要求”，“3.3.服务要求”：</w:t>
      </w:r>
    </w:p>
    <w:p>
      <w:pPr>
        <w:pStyle w:val="null5"/>
        <w:jc w:val="left"/>
      </w:pPr>
      <w:r>
        <w:rPr>
          <w:rFonts w:ascii="仿宋_GB2312" w:hAnsi="仿宋_GB2312" w:cs="仿宋_GB2312" w:eastAsia="仿宋_GB2312"/>
        </w:rPr>
        <w:t>实质性变动的内容，须经采购人代表确认。</w:t>
      </w:r>
    </w:p>
    <w:p>
      <w:pPr>
        <w:pStyle w:val="null5"/>
        <w:ind w:firstLine="480"/>
        <w:jc w:val="both"/>
      </w:pPr>
      <w:r>
        <w:rPr>
          <w:rFonts w:ascii="仿宋_GB2312" w:hAnsi="仿宋_GB2312" w:cs="仿宋_GB2312" w:eastAsia="仿宋_GB2312"/>
        </w:rPr>
        <w:t>二、第七章“拟签订采购合同文本”：</w:t>
      </w:r>
    </w:p>
    <w:p>
      <w:pPr>
        <w:pStyle w:val="null5"/>
        <w:jc w:val="left"/>
      </w:pPr>
      <w:r>
        <w:rPr>
          <w:rFonts w:ascii="仿宋_GB2312" w:hAnsi="仿宋_GB2312" w:cs="仿宋_GB2312" w:eastAsia="仿宋_GB2312"/>
        </w:rPr>
        <w:t>详见附件</w:t>
      </w:r>
    </w:p>
    <w:p>
      <w:pPr>
        <w:pStyle w:val="null5"/>
        <w:ind w:firstLine="480"/>
        <w:jc w:val="both"/>
      </w:pPr>
      <w:r>
        <w:rPr>
          <w:rFonts w:ascii="仿宋_GB2312" w:hAnsi="仿宋_GB2312" w:cs="仿宋_GB2312" w:eastAsia="仿宋_GB2312"/>
        </w:rPr>
        <w:t>除以上内容外，磋商小组不得变动磋商文件中的其他内容。</w:t>
      </w:r>
    </w:p>
    <w:p>
      <w:pPr>
        <w:pStyle w:val="null5"/>
        <w:ind w:firstLine="480"/>
        <w:jc w:val="both"/>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ind w:firstLine="480"/>
        <w:jc w:val="both"/>
      </w:pPr>
      <w:r>
        <w:rPr>
          <w:rFonts w:ascii="仿宋_GB2312" w:hAnsi="仿宋_GB2312" w:cs="仿宋_GB2312" w:eastAsia="仿宋_GB2312"/>
        </w:rPr>
        <w:t>注：工程量清单不属于磋商过程中可以实质性变动的内容。</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一、根据《中华人民共和国政府采购法》《中华人民共和国政府采购法实施条例》等法律制度规定，结合本采购项目特点制定本次竞争性磋商评审办法。</w:t>
      </w:r>
    </w:p>
    <w:p>
      <w:pPr>
        <w:pStyle w:val="null5"/>
        <w:ind w:firstLine="480"/>
        <w:jc w:val="both"/>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both"/>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四、本项目采取电子评审，通过交易系统完成评审工作。磋商小组成员、采购人、代理机构和供应商应当按照本磋商文件规定和交易 系统操作要求开展或者参加评审活动。</w:t>
      </w:r>
    </w:p>
    <w:p>
      <w:pPr>
        <w:pStyle w:val="null5"/>
        <w:ind w:firstLine="480"/>
        <w:jc w:val="both"/>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both"/>
      </w:pPr>
      <w:r>
        <w:rPr>
          <w:rFonts w:ascii="仿宋_GB2312" w:hAnsi="仿宋_GB2312" w:cs="仿宋_GB2312" w:eastAsia="仿宋_GB2312"/>
        </w:rPr>
        <w:t>一、本项目磋商小组成员人数应为 3 人以上单数，其中评审专家不得少于成员总数的三分之二。评审专家由代理机构采取随机方 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pPr>
        <w:pStyle w:val="null5"/>
        <w:ind w:firstLine="480"/>
        <w:jc w:val="both"/>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both"/>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both"/>
      </w:pPr>
      <w:r>
        <w:rPr>
          <w:rFonts w:ascii="仿宋_GB2312" w:hAnsi="仿宋_GB2312" w:cs="仿宋_GB2312" w:eastAsia="仿宋_GB2312"/>
        </w:rPr>
        <w:t>四、磋商小组应当履行下列职责：</w:t>
      </w:r>
    </w:p>
    <w:p>
      <w:pPr>
        <w:pStyle w:val="null5"/>
        <w:ind w:firstLine="480"/>
        <w:jc w:val="both"/>
      </w:pPr>
      <w:r>
        <w:rPr>
          <w:rFonts w:ascii="仿宋_GB2312" w:hAnsi="仿宋_GB2312" w:cs="仿宋_GB2312" w:eastAsia="仿宋_GB2312"/>
        </w:rPr>
        <w:t>（一）熟悉和理解磋商文件；</w:t>
      </w:r>
    </w:p>
    <w:p>
      <w:pPr>
        <w:pStyle w:val="null5"/>
        <w:ind w:firstLine="480"/>
        <w:jc w:val="both"/>
      </w:pPr>
      <w:r>
        <w:rPr>
          <w:rFonts w:ascii="仿宋_GB2312" w:hAnsi="仿宋_GB2312" w:cs="仿宋_GB2312" w:eastAsia="仿宋_GB2312"/>
        </w:rPr>
        <w:t>（二）审查、评价供应商响应文件等是否满足磋商文件要求；</w:t>
      </w:r>
    </w:p>
    <w:p>
      <w:pPr>
        <w:pStyle w:val="null5"/>
        <w:ind w:firstLine="480"/>
        <w:jc w:val="both"/>
      </w:pPr>
      <w:r>
        <w:rPr>
          <w:rFonts w:ascii="仿宋_GB2312" w:hAnsi="仿宋_GB2312" w:cs="仿宋_GB2312" w:eastAsia="仿宋_GB2312"/>
        </w:rPr>
        <w:t>（三）对响应文件进行比较和评价；</w:t>
      </w:r>
    </w:p>
    <w:p>
      <w:pPr>
        <w:pStyle w:val="null5"/>
        <w:ind w:firstLine="480"/>
        <w:jc w:val="both"/>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both"/>
      </w:pPr>
      <w:r>
        <w:rPr>
          <w:rFonts w:ascii="仿宋_GB2312" w:hAnsi="仿宋_GB2312" w:cs="仿宋_GB2312" w:eastAsia="仿宋_GB2312"/>
        </w:rPr>
        <w:t>（五）推荐成交候选供应商，或者受采购人委托确定成交供应商；</w:t>
      </w:r>
    </w:p>
    <w:p>
      <w:pPr>
        <w:pStyle w:val="null5"/>
        <w:ind w:firstLine="480"/>
        <w:jc w:val="both"/>
      </w:pPr>
      <w:r>
        <w:rPr>
          <w:rFonts w:ascii="仿宋_GB2312" w:hAnsi="仿宋_GB2312" w:cs="仿宋_GB2312" w:eastAsia="仿宋_GB2312"/>
        </w:rPr>
        <w:t>（六）起草资格审查报告、磋商报告并进行签署；</w:t>
      </w:r>
    </w:p>
    <w:p>
      <w:pPr>
        <w:pStyle w:val="null5"/>
        <w:ind w:firstLine="480"/>
        <w:jc w:val="both"/>
      </w:pPr>
      <w:r>
        <w:rPr>
          <w:rFonts w:ascii="仿宋_GB2312" w:hAnsi="仿宋_GB2312" w:cs="仿宋_GB2312" w:eastAsia="仿宋_GB2312"/>
        </w:rPr>
        <w:t>（七）向采购人、代理机构或者有关部门报告磋商中非法干预评审工作的行为；</w:t>
      </w:r>
    </w:p>
    <w:p>
      <w:pPr>
        <w:pStyle w:val="null5"/>
        <w:ind w:firstLine="480"/>
        <w:jc w:val="both"/>
      </w:pPr>
      <w:r>
        <w:rPr>
          <w:rFonts w:ascii="仿宋_GB2312" w:hAnsi="仿宋_GB2312" w:cs="仿宋_GB2312" w:eastAsia="仿宋_GB2312"/>
        </w:rPr>
        <w:t>（八）按规定告知供应商，未实质性响应磋商文件的响应文件按无效响应处理；</w:t>
      </w:r>
    </w:p>
    <w:p>
      <w:pPr>
        <w:pStyle w:val="null5"/>
        <w:ind w:firstLine="480"/>
        <w:jc w:val="both"/>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both"/>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both"/>
      </w:pPr>
      <w:r>
        <w:rPr>
          <w:rFonts w:ascii="仿宋_GB2312" w:hAnsi="仿宋_GB2312" w:cs="仿宋_GB2312" w:eastAsia="仿宋_GB2312"/>
        </w:rPr>
        <w:t>5.3.2.停止评审的情形</w:t>
      </w:r>
    </w:p>
    <w:p>
      <w:pPr>
        <w:pStyle w:val="null5"/>
        <w:ind w:firstLine="480"/>
        <w:jc w:val="both"/>
      </w:pPr>
      <w:r>
        <w:rPr>
          <w:rFonts w:ascii="仿宋_GB2312" w:hAnsi="仿宋_GB2312" w:cs="仿宋_GB2312" w:eastAsia="仿宋_GB2312"/>
        </w:rPr>
        <w:t>本磋商文件有下列情形之一的，磋商小组应当停止评审：</w:t>
      </w:r>
    </w:p>
    <w:p>
      <w:pPr>
        <w:pStyle w:val="null5"/>
        <w:ind w:firstLine="480"/>
        <w:jc w:val="both"/>
      </w:pPr>
      <w:r>
        <w:rPr>
          <w:rFonts w:ascii="仿宋_GB2312" w:hAnsi="仿宋_GB2312" w:cs="仿宋_GB2312" w:eastAsia="仿宋_GB2312"/>
        </w:rPr>
        <w:t>一、磋商文件的规定存在歧义、重大缺陷，导致评审工作无法进行的；</w:t>
      </w:r>
    </w:p>
    <w:p>
      <w:pPr>
        <w:pStyle w:val="null5"/>
        <w:ind w:firstLine="480"/>
        <w:jc w:val="both"/>
      </w:pPr>
      <w:r>
        <w:rPr>
          <w:rFonts w:ascii="仿宋_GB2312" w:hAnsi="仿宋_GB2312" w:cs="仿宋_GB2312" w:eastAsia="仿宋_GB2312"/>
        </w:rPr>
        <w:t>二、磋商文件明显以不合理条件对供应商实行差别待遇或者歧视待遇的；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5"/>
        <w:ind w:firstLine="480"/>
        <w:jc w:val="both"/>
      </w:pPr>
      <w:r>
        <w:rPr>
          <w:rFonts w:ascii="仿宋_GB2312" w:hAnsi="仿宋_GB2312" w:cs="仿宋_GB2312" w:eastAsia="仿宋_GB2312"/>
        </w:rPr>
        <w:t>五、磋商文件载明的成交原则不合法的；</w:t>
      </w:r>
    </w:p>
    <w:p>
      <w:pPr>
        <w:pStyle w:val="null5"/>
        <w:ind w:firstLine="480"/>
        <w:jc w:val="both"/>
      </w:pPr>
      <w:r>
        <w:rPr>
          <w:rFonts w:ascii="仿宋_GB2312" w:hAnsi="仿宋_GB2312" w:cs="仿宋_GB2312" w:eastAsia="仿宋_GB2312"/>
        </w:rPr>
        <w:t>六、磋商文件规定的供应商资格条件与随机抽取设置的或邀请书中载明的供应商资格条件不一致的；</w:t>
      </w:r>
    </w:p>
    <w:p>
      <w:pPr>
        <w:pStyle w:val="null5"/>
        <w:ind w:firstLine="480"/>
        <w:jc w:val="both"/>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both"/>
      </w:pPr>
      <w:r>
        <w:rPr>
          <w:rFonts w:ascii="仿宋_GB2312" w:hAnsi="仿宋_GB2312" w:cs="仿宋_GB2312" w:eastAsia="仿宋_GB2312"/>
        </w:rPr>
        <w:t>5.3.3.资格审查</w:t>
      </w:r>
    </w:p>
    <w:p>
      <w:pPr>
        <w:pStyle w:val="null5"/>
        <w:ind w:firstLine="480"/>
        <w:jc w:val="both"/>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both"/>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具有独立承担民事责任的能力。</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1661"/>
          </w:tcPr>
          <w:p>
            <w:pPr>
              <w:pStyle w:val="null5"/>
              <w:jc w:val="left"/>
            </w:pPr>
            <w:r>
              <w:rPr>
                <w:rFonts w:ascii="仿宋_GB2312" w:hAnsi="仿宋_GB2312" w:cs="仿宋_GB2312" w:eastAsia="仿宋_GB2312"/>
              </w:rPr>
              <w:t>投标人承诺函、其他材料、供应商应提交的相关证明材料</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投标人无不良信用记录。</w:t>
            </w:r>
          </w:p>
        </w:tc>
        <w:tc>
          <w:tcPr>
            <w:tcW w:type="dxa" w:w="1661"/>
          </w:tcPr>
          <w:p>
            <w:pPr>
              <w:pStyle w:val="null5"/>
              <w:jc w:val="left"/>
            </w:pPr>
            <w:r>
              <w:rPr>
                <w:rFonts w:ascii="仿宋_GB2312" w:hAnsi="仿宋_GB2312" w:cs="仿宋_GB2312" w:eastAsia="仿宋_GB2312"/>
              </w:rPr>
              <w:t>投标人承诺函、其他材料、供应商应提交的相关证明材料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both"/>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特定资格</w:t>
            </w:r>
          </w:p>
        </w:tc>
        <w:tc>
          <w:tcPr>
            <w:tcW w:type="dxa" w:w="3322"/>
          </w:tcPr>
          <w:p>
            <w:pPr>
              <w:pStyle w:val="null5"/>
              <w:jc w:val="left"/>
            </w:pPr>
            <w:r>
              <w:rPr>
                <w:rFonts w:ascii="仿宋_GB2312" w:hAnsi="仿宋_GB2312" w:cs="仿宋_GB2312" w:eastAsia="仿宋_GB2312"/>
              </w:rPr>
              <w:t>（1）具有市政公用工程施工总承包叁级及以上资质并具有有效的安全生产许可证，在人员、设备、资金等方面具有相应的施工能力。（2）拟派项目经理应持有市政公用工程专业注册二级及以上建造师证（一级建造师注册证书必须为电子证书并符合《住房和城乡建设部办公厅关于全面实行一级建造师电子注册证书的通知》（建办市〔2021〕40号）的规定），具备有效的安全生产考核合格证书（B类）。</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both"/>
      </w:pPr>
      <w:r>
        <w:rPr>
          <w:rFonts w:ascii="仿宋_GB2312" w:hAnsi="仿宋_GB2312" w:cs="仿宋_GB2312" w:eastAsia="仿宋_GB2312"/>
        </w:rPr>
        <w:t>5.3.4.符合性审查</w:t>
      </w:r>
    </w:p>
    <w:p>
      <w:pPr>
        <w:pStyle w:val="null5"/>
        <w:ind w:firstLine="480"/>
        <w:jc w:val="both"/>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二、磋商小组应对供应商已标价工程量清单进行算术性复核，如果出现下列不一致的，按以下原则进行修正：</w:t>
      </w:r>
    </w:p>
    <w:p>
      <w:pPr>
        <w:pStyle w:val="null5"/>
        <w:ind w:firstLine="480"/>
        <w:jc w:val="both"/>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5"/>
        <w:ind w:firstLine="480"/>
        <w:jc w:val="both"/>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5"/>
        <w:ind w:firstLine="480"/>
        <w:jc w:val="both"/>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5"/>
        <w:ind w:firstLine="480"/>
        <w:jc w:val="both"/>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响应文件完整性</w:t>
            </w:r>
          </w:p>
        </w:tc>
        <w:tc>
          <w:tcPr>
            <w:tcW w:type="dxa" w:w="3322"/>
          </w:tcPr>
          <w:p>
            <w:pPr>
              <w:pStyle w:val="null5"/>
              <w:jc w:val="left"/>
            </w:pPr>
            <w:r>
              <w:rPr>
                <w:rFonts w:ascii="仿宋_GB2312" w:hAnsi="仿宋_GB2312" w:cs="仿宋_GB2312" w:eastAsia="仿宋_GB2312"/>
              </w:rPr>
              <w:t>须符合磋商文件的式样、签署和盖章要求且内容完整无缺漏。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5"/>
              <w:jc w:val="left"/>
            </w:pPr>
            <w:r>
              <w:rPr>
                <w:rFonts w:ascii="仿宋_GB2312" w:hAnsi="仿宋_GB2312" w:cs="仿宋_GB2312" w:eastAsia="仿宋_GB2312"/>
              </w:rPr>
              <w:t>案例一览表及证明材料、项目管理人员情况表、开标（报价）一览表、中小企业声明函、商务应答表、自觉抵制政府采购领域商业贿赂行为承诺书、封面、商业信誉、财务会计制度、缴纳税收和社保的承诺函、具有独立承担民事责任的能力证明文件、投标人承诺函、投标（响应）报价明细表、其他材料、残疾人福利性单位声明函、供应商应提交的相关证明材料、无重大违法记录声明函、法定代表人资格证明书或法定代表人授权委托书、投标保证金缴纳证明材料、监狱企业的证明文件、具备履行合同所必需设备和专业技术能力的声明函、技术参数响应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未按规定提供强制节能产品</w:t>
            </w:r>
          </w:p>
        </w:tc>
        <w:tc>
          <w:tcPr>
            <w:tcW w:type="dxa" w:w="3322"/>
          </w:tcPr>
          <w:p>
            <w:pPr>
              <w:pStyle w:val="null5"/>
              <w:jc w:val="left"/>
            </w:pPr>
            <w:r>
              <w:rPr>
                <w:rFonts w:ascii="仿宋_GB2312" w:hAnsi="仿宋_GB2312" w:cs="仿宋_GB2312" w:eastAsia="仿宋_GB2312"/>
              </w:rPr>
              <w:t>未按文件规定提供强制节能产品的</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交付（服务）时间、交付（服务）地点</w:t>
            </w:r>
          </w:p>
        </w:tc>
        <w:tc>
          <w:tcPr>
            <w:tcW w:type="dxa" w:w="3322"/>
          </w:tcPr>
          <w:p>
            <w:pPr>
              <w:pStyle w:val="null5"/>
              <w:jc w:val="left"/>
            </w:pPr>
            <w:r>
              <w:rPr>
                <w:rFonts w:ascii="仿宋_GB2312" w:hAnsi="仿宋_GB2312" w:cs="仿宋_GB2312" w:eastAsia="仿宋_GB2312"/>
              </w:rPr>
              <w:t>交付（服务）时间、交付（服务）地点须满足磋商文件要求。</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无串通行为的情形</w:t>
            </w:r>
          </w:p>
        </w:tc>
        <w:tc>
          <w:tcPr>
            <w:tcW w:type="dxa" w:w="3322"/>
          </w:tcPr>
          <w:p>
            <w:pPr>
              <w:pStyle w:val="null5"/>
              <w:jc w:val="left"/>
            </w:pPr>
            <w:r>
              <w:rPr>
                <w:rFonts w:ascii="仿宋_GB2312" w:hAnsi="仿宋_GB2312" w:cs="仿宋_GB2312" w:eastAsia="仿宋_GB2312"/>
              </w:rPr>
              <w:t>无串通行为的情形。</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响应有效期（从递交响应文件的截止之日起算）</w:t>
            </w:r>
          </w:p>
        </w:tc>
        <w:tc>
          <w:tcPr>
            <w:tcW w:type="dxa" w:w="3322"/>
          </w:tcPr>
          <w:p>
            <w:pPr>
              <w:pStyle w:val="null5"/>
              <w:jc w:val="left"/>
            </w:pPr>
            <w:r>
              <w:rPr>
                <w:rFonts w:ascii="仿宋_GB2312" w:hAnsi="仿宋_GB2312" w:cs="仿宋_GB2312" w:eastAsia="仿宋_GB2312"/>
              </w:rPr>
              <w:t>磋商有效期须满足供应商须知附表。</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无认定为“响应无效”的其他情形</w:t>
            </w:r>
          </w:p>
        </w:tc>
        <w:tc>
          <w:tcPr>
            <w:tcW w:type="dxa" w:w="3322"/>
          </w:tcPr>
          <w:p>
            <w:pPr>
              <w:pStyle w:val="null5"/>
              <w:jc w:val="left"/>
            </w:pPr>
            <w:r>
              <w:rPr>
                <w:rFonts w:ascii="仿宋_GB2312" w:hAnsi="仿宋_GB2312" w:cs="仿宋_GB2312" w:eastAsia="仿宋_GB2312"/>
              </w:rPr>
              <w:t>无认定为“响应无效”的其他情形。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响应报价</w:t>
            </w:r>
          </w:p>
        </w:tc>
        <w:tc>
          <w:tcPr>
            <w:tcW w:type="dxa" w:w="3322"/>
          </w:tcPr>
          <w:p>
            <w:pPr>
              <w:pStyle w:val="null5"/>
              <w:jc w:val="left"/>
            </w:pPr>
            <w:r>
              <w:rPr>
                <w:rFonts w:ascii="仿宋_GB2312" w:hAnsi="仿宋_GB2312" w:cs="仿宋_GB2312" w:eastAsia="仿宋_GB2312"/>
              </w:rPr>
              <w:t>报价须是唯一的；不得超出采购预算或最高限价</w:t>
            </w:r>
          </w:p>
        </w:tc>
        <w:tc>
          <w:tcPr>
            <w:tcW w:type="dxa" w:w="1661"/>
          </w:tcPr>
          <w:p>
            <w:pPr>
              <w:pStyle w:val="null5"/>
              <w:jc w:val="left"/>
            </w:pPr>
            <w:r>
              <w:rPr>
                <w:rFonts w:ascii="仿宋_GB2312" w:hAnsi="仿宋_GB2312" w:cs="仿宋_GB2312" w:eastAsia="仿宋_GB2312"/>
              </w:rPr>
              <w:t>其他材料、供应商应提交的相关证明材料</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磋商响应情况（如有）</w:t>
            </w:r>
          </w:p>
        </w:tc>
        <w:tc>
          <w:tcPr>
            <w:tcW w:type="dxa" w:w="3322"/>
          </w:tcPr>
          <w:p>
            <w:pPr>
              <w:pStyle w:val="null5"/>
              <w:jc w:val="left"/>
            </w:pPr>
            <w:r>
              <w:rPr>
                <w:rFonts w:ascii="仿宋_GB2312" w:hAnsi="仿宋_GB2312" w:cs="仿宋_GB2312" w:eastAsia="仿宋_GB2312"/>
              </w:rPr>
              <w:t>供应商在磋商过程中，是否响应磋商要求。</w:t>
            </w:r>
          </w:p>
        </w:tc>
        <w:tc>
          <w:tcPr>
            <w:tcW w:type="dxa" w:w="1661"/>
          </w:tcPr>
          <w:p>
            <w:pPr>
              <w:pStyle w:val="null5"/>
              <w:jc w:val="left"/>
            </w:pPr>
            <w:r>
              <w:rPr>
                <w:rFonts w:ascii="仿宋_GB2312" w:hAnsi="仿宋_GB2312" w:cs="仿宋_GB2312" w:eastAsia="仿宋_GB2312"/>
              </w:rPr>
              <w:t>其他材料、供应商应提交的相关证明材料</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both"/>
      </w:pPr>
      <w:r>
        <w:rPr>
          <w:rFonts w:ascii="仿宋_GB2312" w:hAnsi="仿宋_GB2312" w:cs="仿宋_GB2312" w:eastAsia="仿宋_GB2312"/>
        </w:rPr>
        <w:t>5.3.5.磋商</w:t>
      </w:r>
    </w:p>
    <w:p>
      <w:pPr>
        <w:pStyle w:val="null5"/>
        <w:ind w:firstLine="480"/>
        <w:jc w:val="both"/>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both"/>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both"/>
      </w:pPr>
      <w:r>
        <w:rPr>
          <w:rFonts w:ascii="仿宋_GB2312" w:hAnsi="仿宋_GB2312" w:cs="仿宋_GB2312" w:eastAsia="仿宋_GB2312"/>
        </w:rPr>
        <w:t>三、磋商小组可以根据磋商文件和磋商情况实质性变动第四章约定的内容，但不得变动磋商文件中的其他内容。实质性变动的内容， 须经采购人代表确认。</w:t>
      </w:r>
    </w:p>
    <w:p>
      <w:pPr>
        <w:pStyle w:val="null5"/>
        <w:ind w:firstLine="480"/>
        <w:jc w:val="both"/>
      </w:pPr>
      <w:r>
        <w:rPr>
          <w:rFonts w:ascii="仿宋_GB2312" w:hAnsi="仿宋_GB2312" w:cs="仿宋_GB2312" w:eastAsia="仿宋_GB2312"/>
        </w:rPr>
        <w:t>四、对磋商文件作出的实质性变动是磋商文件的有效组成部分，磋商小组应通过交易系统，将变动情况通知所有参加磋商的供应商。磋商过程中，磋商小组可以根据磋商情况调整磋商轮次。</w:t>
      </w:r>
    </w:p>
    <w:p>
      <w:pPr>
        <w:pStyle w:val="null5"/>
        <w:ind w:firstLine="480"/>
        <w:jc w:val="both"/>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both"/>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both"/>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both"/>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both"/>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both"/>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both"/>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both"/>
      </w:pPr>
      <w:r>
        <w:rPr>
          <w:rFonts w:ascii="仿宋_GB2312" w:hAnsi="仿宋_GB2312" w:cs="仿宋_GB2312" w:eastAsia="仿宋_GB2312"/>
        </w:rPr>
        <w:t>三、最后报价提交后，供应商不得以任何理由撤回。</w:t>
      </w:r>
    </w:p>
    <w:p>
      <w:pPr>
        <w:pStyle w:val="null5"/>
        <w:ind w:firstLine="480"/>
        <w:jc w:val="both"/>
      </w:pPr>
      <w:r>
        <w:rPr>
          <w:rFonts w:ascii="仿宋_GB2312" w:hAnsi="仿宋_GB2312" w:cs="仿宋_GB2312" w:eastAsia="仿宋_GB2312"/>
        </w:rPr>
        <w:t>四、最后报价为有效报价应符合下列条件：</w:t>
      </w:r>
    </w:p>
    <w:p>
      <w:pPr>
        <w:pStyle w:val="null5"/>
        <w:ind w:firstLine="480"/>
        <w:jc w:val="both"/>
      </w:pPr>
      <w:r>
        <w:rPr>
          <w:rFonts w:ascii="仿宋_GB2312" w:hAnsi="仿宋_GB2312" w:cs="仿宋_GB2312" w:eastAsia="仿宋_GB2312"/>
        </w:rPr>
        <w:t>（一）供应商所提供的最后报价是在规定的时间内提交。</w:t>
      </w:r>
    </w:p>
    <w:p>
      <w:pPr>
        <w:pStyle w:val="null5"/>
        <w:ind w:firstLine="480"/>
        <w:jc w:val="both"/>
      </w:pPr>
      <w:r>
        <w:rPr>
          <w:rFonts w:ascii="仿宋_GB2312" w:hAnsi="仿宋_GB2312" w:cs="仿宋_GB2312" w:eastAsia="仿宋_GB2312"/>
        </w:rPr>
        <w:t>（二）供应商的最后报价应加盖供应商（法定名称）电子印章。</w:t>
      </w:r>
    </w:p>
    <w:p>
      <w:pPr>
        <w:pStyle w:val="null5"/>
        <w:ind w:firstLine="480"/>
        <w:jc w:val="both"/>
      </w:pPr>
      <w:r>
        <w:rPr>
          <w:rFonts w:ascii="仿宋_GB2312" w:hAnsi="仿宋_GB2312" w:cs="仿宋_GB2312" w:eastAsia="仿宋_GB2312"/>
        </w:rPr>
        <w:t>（三）供应商的最后报价应符合磋商文件的要求。</w:t>
      </w:r>
    </w:p>
    <w:p>
      <w:pPr>
        <w:pStyle w:val="null5"/>
        <w:ind w:firstLine="480"/>
        <w:jc w:val="both"/>
      </w:pPr>
      <w:r>
        <w:rPr>
          <w:rFonts w:ascii="仿宋_GB2312" w:hAnsi="仿宋_GB2312" w:cs="仿宋_GB2312" w:eastAsia="仿宋_GB2312"/>
        </w:rPr>
        <w:t>（四）最后报价唯一，且不高于最高限价。</w:t>
      </w:r>
    </w:p>
    <w:p>
      <w:pPr>
        <w:pStyle w:val="null5"/>
        <w:ind w:firstLine="480"/>
        <w:jc w:val="both"/>
      </w:pPr>
      <w:r>
        <w:rPr>
          <w:rFonts w:ascii="仿宋_GB2312" w:hAnsi="仿宋_GB2312" w:cs="仿宋_GB2312" w:eastAsia="仿宋_GB2312"/>
        </w:rPr>
        <w:t>五、最后报价出现下列情况的，除磋商文件另有规定外，按以下原则处理：</w:t>
      </w:r>
    </w:p>
    <w:p>
      <w:pPr>
        <w:pStyle w:val="null5"/>
        <w:ind w:firstLine="480"/>
        <w:jc w:val="both"/>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both"/>
      </w:pPr>
      <w:r>
        <w:rPr>
          <w:rFonts w:ascii="仿宋_GB2312" w:hAnsi="仿宋_GB2312" w:cs="仿宋_GB2312" w:eastAsia="仿宋_GB2312"/>
        </w:rPr>
        <w:t>（二）单价金额小数点或者百分比有明显错位的，应以总价为准，并修改单价；</w:t>
      </w:r>
    </w:p>
    <w:p>
      <w:pPr>
        <w:pStyle w:val="null5"/>
        <w:ind w:firstLine="480"/>
        <w:jc w:val="both"/>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both"/>
      </w:pPr>
      <w:r>
        <w:rPr>
          <w:rFonts w:ascii="仿宋_GB2312" w:hAnsi="仿宋_GB2312" w:cs="仿宋_GB2312" w:eastAsia="仿宋_GB2312"/>
        </w:rPr>
        <w:t>5.3.7.解释、澄清、说明的有关问题</w:t>
      </w:r>
    </w:p>
    <w:p>
      <w:pPr>
        <w:pStyle w:val="null5"/>
        <w:ind w:firstLine="480"/>
        <w:jc w:val="both"/>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both"/>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both"/>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both"/>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both"/>
      </w:pPr>
      <w:r>
        <w:rPr>
          <w:rFonts w:ascii="仿宋_GB2312" w:hAnsi="仿宋_GB2312" w:cs="仿宋_GB2312" w:eastAsia="仿宋_GB2312"/>
        </w:rPr>
        <w:t>5.3.8.比较与评价</w:t>
      </w:r>
    </w:p>
    <w:p>
      <w:pPr>
        <w:pStyle w:val="null5"/>
        <w:ind w:firstLine="480"/>
        <w:jc w:val="both"/>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both"/>
      </w:pPr>
      <w:r>
        <w:rPr>
          <w:rFonts w:ascii="仿宋_GB2312" w:hAnsi="仿宋_GB2312" w:cs="仿宋_GB2312" w:eastAsia="仿宋_GB2312"/>
        </w:rPr>
        <w:t>5.3.9.磋商小组复核</w:t>
      </w:r>
    </w:p>
    <w:p>
      <w:pPr>
        <w:pStyle w:val="null5"/>
        <w:ind w:firstLine="480"/>
        <w:jc w:val="both"/>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both"/>
      </w:pPr>
      <w:r>
        <w:rPr>
          <w:rFonts w:ascii="仿宋_GB2312" w:hAnsi="仿宋_GB2312" w:cs="仿宋_GB2312" w:eastAsia="仿宋_GB2312"/>
        </w:rPr>
        <w:t>5.3.10.代理机构现场复核评审结果</w:t>
      </w:r>
    </w:p>
    <w:p>
      <w:pPr>
        <w:pStyle w:val="null5"/>
        <w:ind w:firstLine="480"/>
        <w:jc w:val="both"/>
      </w:pPr>
      <w:r>
        <w:rPr>
          <w:rFonts w:ascii="仿宋_GB2312" w:hAnsi="仿宋_GB2312" w:cs="仿宋_GB2312" w:eastAsia="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pPr>
        <w:pStyle w:val="null5"/>
        <w:ind w:firstLine="480"/>
        <w:jc w:val="both"/>
      </w:pPr>
      <w:r>
        <w:rPr>
          <w:rFonts w:ascii="仿宋_GB2312" w:hAnsi="仿宋_GB2312" w:cs="仿宋_GB2312" w:eastAsia="仿宋_GB2312"/>
        </w:rPr>
        <w:t>（一）资格审查认定错误的；</w:t>
      </w:r>
    </w:p>
    <w:p>
      <w:pPr>
        <w:pStyle w:val="null5"/>
        <w:ind w:firstLine="480"/>
        <w:jc w:val="both"/>
      </w:pPr>
      <w:r>
        <w:rPr>
          <w:rFonts w:ascii="仿宋_GB2312" w:hAnsi="仿宋_GB2312" w:cs="仿宋_GB2312" w:eastAsia="仿宋_GB2312"/>
        </w:rPr>
        <w:t>（二）分值汇总计算错误的；</w:t>
      </w:r>
    </w:p>
    <w:p>
      <w:pPr>
        <w:pStyle w:val="null5"/>
        <w:ind w:firstLine="480"/>
        <w:jc w:val="both"/>
      </w:pPr>
      <w:r>
        <w:rPr>
          <w:rFonts w:ascii="仿宋_GB2312" w:hAnsi="仿宋_GB2312" w:cs="仿宋_GB2312" w:eastAsia="仿宋_GB2312"/>
        </w:rPr>
        <w:t>（三）分项评分超出评分标准范围的；</w:t>
      </w:r>
    </w:p>
    <w:p>
      <w:pPr>
        <w:pStyle w:val="null5"/>
        <w:ind w:firstLine="480"/>
        <w:jc w:val="both"/>
      </w:pPr>
      <w:r>
        <w:rPr>
          <w:rFonts w:ascii="仿宋_GB2312" w:hAnsi="仿宋_GB2312" w:cs="仿宋_GB2312" w:eastAsia="仿宋_GB2312"/>
        </w:rPr>
        <w:t>（四）客观评分不一致的。</w:t>
      </w:r>
    </w:p>
    <w:p>
      <w:pPr>
        <w:pStyle w:val="null5"/>
        <w:ind w:firstLine="480"/>
        <w:jc w:val="both"/>
      </w:pPr>
      <w:r>
        <w:rPr>
          <w:rFonts w:ascii="仿宋_GB2312" w:hAnsi="仿宋_GB2312" w:cs="仿宋_GB2312" w:eastAsia="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三、代理机构复核过程中，磋商小组成员不得离开评审现场。</w:t>
      </w:r>
    </w:p>
    <w:p>
      <w:pPr>
        <w:pStyle w:val="null5"/>
        <w:ind w:firstLine="480"/>
        <w:jc w:val="both"/>
      </w:pPr>
      <w:r>
        <w:rPr>
          <w:rFonts w:ascii="仿宋_GB2312" w:hAnsi="仿宋_GB2312" w:cs="仿宋_GB2312" w:eastAsia="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pPr>
        <w:pStyle w:val="null5"/>
        <w:ind w:firstLine="480"/>
        <w:jc w:val="both"/>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w:t>
      </w:r>
    </w:p>
    <w:p>
      <w:pPr>
        <w:pStyle w:val="null5"/>
        <w:ind w:firstLine="480"/>
        <w:jc w:val="both"/>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both"/>
      </w:pPr>
      <w:r>
        <w:rPr>
          <w:rFonts w:ascii="仿宋_GB2312" w:hAnsi="仿宋_GB2312" w:cs="仿宋_GB2312" w:eastAsia="仿宋_GB2312"/>
        </w:rPr>
        <w:t>5.3.12.出具磋商报告</w:t>
      </w:r>
    </w:p>
    <w:p>
      <w:pPr>
        <w:pStyle w:val="null5"/>
        <w:ind w:firstLine="480"/>
        <w:jc w:val="both"/>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both"/>
      </w:pPr>
      <w:r>
        <w:rPr>
          <w:rFonts w:ascii="仿宋_GB2312" w:hAnsi="仿宋_GB2312" w:cs="仿宋_GB2312" w:eastAsia="仿宋_GB2312"/>
        </w:rPr>
        <w:t>一、邀请供应商参加采购活动的具体方式和相关情况，以及参加采购活动的供应商名单；</w:t>
      </w:r>
    </w:p>
    <w:p>
      <w:pPr>
        <w:pStyle w:val="null5"/>
        <w:ind w:firstLine="480"/>
        <w:jc w:val="both"/>
      </w:pPr>
      <w:r>
        <w:rPr>
          <w:rFonts w:ascii="仿宋_GB2312" w:hAnsi="仿宋_GB2312" w:cs="仿宋_GB2312" w:eastAsia="仿宋_GB2312"/>
        </w:rPr>
        <w:t>二、磋商日期和地点，磋商小组成员名单；</w:t>
      </w:r>
    </w:p>
    <w:p>
      <w:pPr>
        <w:pStyle w:val="null5"/>
        <w:ind w:firstLine="480"/>
        <w:jc w:val="both"/>
      </w:pPr>
      <w:r>
        <w:rPr>
          <w:rFonts w:ascii="仿宋_GB2312" w:hAnsi="仿宋_GB2312" w:cs="仿宋_GB2312" w:eastAsia="仿宋_GB2312"/>
        </w:rPr>
        <w:t>三、参加报价的供应商名单及报价情况和未参加报价的供应商名单及原因；</w:t>
      </w:r>
    </w:p>
    <w:p>
      <w:pPr>
        <w:pStyle w:val="null5"/>
        <w:ind w:firstLine="480"/>
        <w:jc w:val="both"/>
      </w:pPr>
      <w:r>
        <w:rPr>
          <w:rFonts w:ascii="仿宋_GB2312" w:hAnsi="仿宋_GB2312" w:cs="仿宋_GB2312" w:eastAsia="仿宋_GB2312"/>
        </w:rPr>
        <w:t>四、变动磋商文件实质性内容的有关资料及记录；</w:t>
      </w:r>
    </w:p>
    <w:p>
      <w:pPr>
        <w:pStyle w:val="null5"/>
        <w:ind w:firstLine="480"/>
        <w:jc w:val="both"/>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both"/>
      </w:pPr>
      <w:r>
        <w:rPr>
          <w:rFonts w:ascii="仿宋_GB2312" w:hAnsi="仿宋_GB2312" w:cs="仿宋_GB2312" w:eastAsia="仿宋_GB2312"/>
        </w:rPr>
        <w:t>六、磋商情况记录和说明，包括对供应商的资格审查情况、供应商响应文件磋商情况等；</w:t>
      </w:r>
    </w:p>
    <w:p>
      <w:pPr>
        <w:pStyle w:val="null5"/>
        <w:ind w:firstLine="480"/>
        <w:jc w:val="both"/>
      </w:pPr>
      <w:r>
        <w:rPr>
          <w:rFonts w:ascii="仿宋_GB2312" w:hAnsi="仿宋_GB2312" w:cs="仿宋_GB2312" w:eastAsia="仿宋_GB2312"/>
        </w:rPr>
        <w:t>七、推荐的成交候选供应商名单及理由。</w:t>
      </w:r>
    </w:p>
    <w:p>
      <w:pPr>
        <w:pStyle w:val="null5"/>
        <w:ind w:firstLine="480"/>
        <w:jc w:val="both"/>
      </w:pPr>
      <w:r>
        <w:rPr>
          <w:rFonts w:ascii="仿宋_GB2312" w:hAnsi="仿宋_GB2312" w:cs="仿宋_GB2312" w:eastAsia="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both"/>
      </w:pPr>
      <w:r>
        <w:rPr>
          <w:rFonts w:ascii="仿宋_GB2312" w:hAnsi="仿宋_GB2312" w:cs="仿宋_GB2312" w:eastAsia="仿宋_GB2312"/>
        </w:rPr>
        <w:t>5.3.13.评审争议处理规则</w:t>
      </w:r>
    </w:p>
    <w:p>
      <w:pPr>
        <w:pStyle w:val="null5"/>
        <w:ind w:firstLine="480"/>
        <w:jc w:val="both"/>
      </w:pPr>
      <w:r>
        <w:rPr>
          <w:rFonts w:ascii="仿宋_GB2312" w:hAnsi="仿宋_GB2312" w:cs="仿宋_GB2312" w:eastAsia="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both"/>
      </w:pPr>
      <w:r>
        <w:rPr>
          <w:rFonts w:ascii="仿宋_GB2312" w:hAnsi="仿宋_GB2312" w:cs="仿宋_GB2312" w:eastAsia="仿宋_GB2312"/>
        </w:rPr>
        <w:t>5.4.1.评审方法</w:t>
      </w:r>
    </w:p>
    <w:p>
      <w:pPr>
        <w:pStyle w:val="null5"/>
        <w:ind w:firstLine="480"/>
        <w:jc w:val="both"/>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both"/>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技术部分56.00分</w:t>
            </w:r>
          </w:p>
          <w:p>
            <w:pPr>
              <w:pStyle w:val="null5"/>
              <w:jc w:val="left"/>
            </w:pPr>
            <w:r>
              <w:rPr>
                <w:rFonts w:ascii="仿宋_GB2312" w:hAnsi="仿宋_GB2312" w:cs="仿宋_GB2312" w:eastAsia="仿宋_GB2312"/>
              </w:rPr>
              <w:t>商务部分24.00分</w:t>
            </w:r>
          </w:p>
          <w:p>
            <w:pPr>
              <w:pStyle w:val="null5"/>
              <w:jc w:val="left"/>
            </w:pPr>
            <w:r>
              <w:rPr>
                <w:rFonts w:ascii="仿宋_GB2312" w:hAnsi="仿宋_GB2312" w:cs="仿宋_GB2312" w:eastAsia="仿宋_GB2312"/>
              </w:rPr>
              <w:t>报价得分20.00分</w:t>
            </w:r>
          </w:p>
          <w:p>
            <w:pPr>
              <w:pStyle w:val="null5"/>
              <w:jc w:val="left"/>
            </w:pPr>
            <w:r>
              <w:rPr>
                <w:rFonts w:ascii="仿宋_GB2312" w:hAnsi="仿宋_GB2312" w:cs="仿宋_GB2312" w:eastAsia="仿宋_GB2312"/>
              </w:rPr>
              <w:t>附加分7.60分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施工方案及技术措施</w:t>
            </w:r>
          </w:p>
        </w:tc>
        <w:tc>
          <w:tcPr>
            <w:tcW w:type="dxa" w:w="2575"/>
          </w:tcPr>
          <w:p>
            <w:pPr>
              <w:pStyle w:val="null5"/>
              <w:jc w:val="left"/>
            </w:pPr>
            <w:r>
              <w:rPr>
                <w:rFonts w:ascii="仿宋_GB2312" w:hAnsi="仿宋_GB2312" w:cs="仿宋_GB2312" w:eastAsia="仿宋_GB2312"/>
              </w:rPr>
              <w:t>施工方案、施工工艺、技术措施及重点难点，方案内容条理清晰的满分得16分。每有一处瑕疵或不足减0.5分，减完为止，若此条缺项不得分。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工程质量及保证措施</w:t>
            </w:r>
          </w:p>
        </w:tc>
        <w:tc>
          <w:tcPr>
            <w:tcW w:type="dxa" w:w="2575"/>
          </w:tcPr>
          <w:p>
            <w:pPr>
              <w:pStyle w:val="null5"/>
              <w:jc w:val="left"/>
            </w:pPr>
            <w:r>
              <w:rPr>
                <w:rFonts w:ascii="仿宋_GB2312" w:hAnsi="仿宋_GB2312" w:cs="仿宋_GB2312" w:eastAsia="仿宋_GB2312"/>
              </w:rPr>
              <w:t>明确质量控制施工质量保证措施，根据项目实际情况质量保证措施；针对本工程质量通病的防治措施方案，内容科学合理得10分。每有一处瑕疵或不足减0.5分，减完为止，若此条缺项不得分。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工期及保证措施</w:t>
            </w:r>
          </w:p>
        </w:tc>
        <w:tc>
          <w:tcPr>
            <w:tcW w:type="dxa" w:w="2575"/>
          </w:tcPr>
          <w:p>
            <w:pPr>
              <w:pStyle w:val="null5"/>
              <w:jc w:val="left"/>
            </w:pPr>
            <w:r>
              <w:rPr>
                <w:rFonts w:ascii="仿宋_GB2312" w:hAnsi="仿宋_GB2312" w:cs="仿宋_GB2312" w:eastAsia="仿宋_GB2312"/>
              </w:rPr>
              <w:t>施工总进度计划及保证措施（包括以横道图、保障进度计划需要的主要施工机械设备、劳动力需求计划及保证措施、材料设备进场计划及其他保证措施等）；进度计划及保证措施安排合理具有可操作性的10分。每有一处瑕疵或不足减0.5分，减完为止，若此条缺项不得分。 注：所报工期应符合磋商文件要求，否则视为无效报价。</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安全文明施工</w:t>
            </w:r>
          </w:p>
        </w:tc>
        <w:tc>
          <w:tcPr>
            <w:tcW w:type="dxa" w:w="2575"/>
          </w:tcPr>
          <w:p>
            <w:pPr>
              <w:pStyle w:val="null5"/>
              <w:jc w:val="left"/>
            </w:pPr>
            <w:r>
              <w:rPr>
                <w:rFonts w:ascii="仿宋_GB2312" w:hAnsi="仿宋_GB2312" w:cs="仿宋_GB2312" w:eastAsia="仿宋_GB2312"/>
              </w:rPr>
              <w:t>施工安全、文明措施计划。措施计划内容切实可行的得8分。每有一处瑕疵或不足减0.5分，减完为止，若此条缺项不得分。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环境保护及防尘防噪施工措施</w:t>
            </w:r>
          </w:p>
        </w:tc>
        <w:tc>
          <w:tcPr>
            <w:tcW w:type="dxa" w:w="2575"/>
          </w:tcPr>
          <w:p>
            <w:pPr>
              <w:pStyle w:val="null5"/>
              <w:jc w:val="left"/>
            </w:pPr>
            <w:r>
              <w:rPr>
                <w:rFonts w:ascii="仿宋_GB2312" w:hAnsi="仿宋_GB2312" w:cs="仿宋_GB2312" w:eastAsia="仿宋_GB2312"/>
              </w:rPr>
              <w:t>环境保护及防尘防噪施工措施内容切实可行的得6分。每有一处瑕疵或不足减0.5分，减完为止，若此条缺项不得分。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5"/>
              <w:jc w:val="left"/>
            </w:pPr>
            <w:r>
              <w:rPr>
                <w:rFonts w:ascii="仿宋_GB2312" w:hAnsi="仿宋_GB2312" w:cs="仿宋_GB2312" w:eastAsia="仿宋_GB2312"/>
              </w:rPr>
              <w:t>与业主及周边关系协调方案措施</w:t>
            </w:r>
          </w:p>
        </w:tc>
        <w:tc>
          <w:tcPr>
            <w:tcW w:type="dxa" w:w="2575"/>
          </w:tcPr>
          <w:p>
            <w:pPr>
              <w:pStyle w:val="null5"/>
              <w:jc w:val="left"/>
            </w:pPr>
            <w:r>
              <w:rPr>
                <w:rFonts w:ascii="仿宋_GB2312" w:hAnsi="仿宋_GB2312" w:cs="仿宋_GB2312" w:eastAsia="仿宋_GB2312"/>
              </w:rPr>
              <w:t>与业主及周边关系协调方案措施内容切实可行的得6分。每有一处瑕疵或不足减0.5分，减完为止，若此条缺项不得分。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技术参数响应表</w:t>
            </w:r>
          </w:p>
          <w:p>
            <w:pPr>
              <w:pStyle w:val="null5"/>
              <w:jc w:val="left"/>
            </w:pPr>
            <w:r>
              <w:rPr>
                <w:rFonts w:ascii="仿宋_GB2312" w:hAnsi="仿宋_GB2312" w:cs="仿宋_GB2312" w:eastAsia="仿宋_GB2312"/>
              </w:rPr>
              <w:t>供应商应提交的相关证明材料</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报价合理性</w:t>
            </w:r>
          </w:p>
        </w:tc>
        <w:tc>
          <w:tcPr>
            <w:tcW w:type="dxa" w:w="2575"/>
          </w:tcPr>
          <w:p>
            <w:pPr>
              <w:pStyle w:val="null5"/>
              <w:jc w:val="left"/>
            </w:pPr>
            <w:r>
              <w:rPr>
                <w:rFonts w:ascii="仿宋_GB2312" w:hAnsi="仿宋_GB2312" w:cs="仿宋_GB2312" w:eastAsia="仿宋_GB2312"/>
              </w:rPr>
              <w:t>供应商报价表格规范、齐全，完整，报价符合市场价得满分5分，每有一处不规范、不齐全、不完整减0.5分，减完为止，若此条缺项不得分。</w:t>
            </w:r>
          </w:p>
        </w:tc>
        <w:tc>
          <w:tcPr>
            <w:tcW w:type="dxa" w:w="831"/>
          </w:tcPr>
          <w:p>
            <w:pPr>
              <w:pStyle w:val="null5"/>
              <w:jc w:val="center"/>
            </w:pPr>
            <w:r>
              <w:rPr>
                <w:rFonts w:ascii="仿宋_GB2312" w:hAnsi="仿宋_GB2312" w:cs="仿宋_GB2312" w:eastAsia="仿宋_GB2312"/>
              </w:rPr>
              <w:t>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售后服务及质保1</w:t>
            </w:r>
          </w:p>
        </w:tc>
        <w:tc>
          <w:tcPr>
            <w:tcW w:type="dxa" w:w="2575"/>
          </w:tcPr>
          <w:p>
            <w:pPr>
              <w:pStyle w:val="null5"/>
              <w:jc w:val="left"/>
            </w:pPr>
            <w:r>
              <w:rPr>
                <w:rFonts w:ascii="仿宋_GB2312" w:hAnsi="仿宋_GB2312" w:cs="仿宋_GB2312" w:eastAsia="仿宋_GB2312"/>
              </w:rPr>
              <w:t>售后：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售后服务及质保2</w:t>
            </w:r>
          </w:p>
        </w:tc>
        <w:tc>
          <w:tcPr>
            <w:tcW w:type="dxa" w:w="2575"/>
          </w:tcPr>
          <w:p>
            <w:pPr>
              <w:pStyle w:val="null5"/>
              <w:jc w:val="left"/>
            </w:pPr>
            <w:r>
              <w:rPr>
                <w:rFonts w:ascii="仿宋_GB2312" w:hAnsi="仿宋_GB2312" w:cs="仿宋_GB2312" w:eastAsia="仿宋_GB2312"/>
              </w:rPr>
              <w:t>质保期在满足竞争性磋商文件要求的前提下，每增加一年得1分，最多2分。</w:t>
            </w:r>
          </w:p>
        </w:tc>
        <w:tc>
          <w:tcPr>
            <w:tcW w:type="dxa" w:w="831"/>
          </w:tcPr>
          <w:p>
            <w:pPr>
              <w:pStyle w:val="null5"/>
              <w:jc w:val="center"/>
            </w:pPr>
            <w:r>
              <w:rPr>
                <w:rFonts w:ascii="仿宋_GB2312" w:hAnsi="仿宋_GB2312" w:cs="仿宋_GB2312" w:eastAsia="仿宋_GB2312"/>
              </w:rPr>
              <w:t>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商务应答表</w:t>
            </w:r>
          </w:p>
        </w:tc>
      </w:tr>
      <w:tr>
        <w:tc>
          <w:tcPr>
            <w:tcW w:type="dxa" w:w="831"/>
            <w:vMerge/>
          </w:tcPr>
          <w:p/>
        </w:tc>
        <w:tc>
          <w:tcPr>
            <w:tcW w:type="dxa" w:w="1661"/>
          </w:tcPr>
          <w:p>
            <w:pPr>
              <w:pStyle w:val="null5"/>
              <w:jc w:val="left"/>
            </w:pPr>
            <w:r>
              <w:rPr>
                <w:rFonts w:ascii="仿宋_GB2312" w:hAnsi="仿宋_GB2312" w:cs="仿宋_GB2312" w:eastAsia="仿宋_GB2312"/>
              </w:rPr>
              <w:t>项目管理班子配备</w:t>
            </w:r>
          </w:p>
        </w:tc>
        <w:tc>
          <w:tcPr>
            <w:tcW w:type="dxa" w:w="2575"/>
          </w:tcPr>
          <w:p>
            <w:pPr>
              <w:pStyle w:val="null5"/>
              <w:jc w:val="left"/>
            </w:pPr>
            <w:r>
              <w:rPr>
                <w:rFonts w:ascii="仿宋_GB2312" w:hAnsi="仿宋_GB2312" w:cs="仿宋_GB2312" w:eastAsia="仿宋_GB2312"/>
              </w:rPr>
              <w:t>项目部人员配备齐全合理、技术力量雄厚，各专业技术人员配备合理得10分。存在缺项或人员配备不合理，技术力量薄弱，各专业技术人员配备不合理等情况，每有一项减0.5分，减完为止，若此条缺项不得分。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供应商应提交的相关证明材料</w:t>
            </w:r>
          </w:p>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商务应答表</w:t>
            </w:r>
          </w:p>
          <w:p>
            <w:pPr>
              <w:pStyle w:val="null5"/>
              <w:jc w:val="left"/>
            </w:pPr>
            <w:r>
              <w:rPr>
                <w:rFonts w:ascii="仿宋_GB2312" w:hAnsi="仿宋_GB2312" w:cs="仿宋_GB2312" w:eastAsia="仿宋_GB2312"/>
              </w:rPr>
              <w:t>项目管理人员情况表</w:t>
            </w:r>
          </w:p>
        </w:tc>
      </w:tr>
      <w:tr>
        <w:tc>
          <w:tcPr>
            <w:tcW w:type="dxa" w:w="831"/>
            <w:vMerge/>
          </w:tcPr>
          <w:p/>
        </w:tc>
        <w:tc>
          <w:tcPr>
            <w:tcW w:type="dxa" w:w="1661"/>
          </w:tcPr>
          <w:p>
            <w:pPr>
              <w:pStyle w:val="null5"/>
              <w:jc w:val="left"/>
            </w:pPr>
            <w:r>
              <w:rPr>
                <w:rFonts w:ascii="仿宋_GB2312" w:hAnsi="仿宋_GB2312" w:cs="仿宋_GB2312" w:eastAsia="仿宋_GB2312"/>
              </w:rPr>
              <w:t>类似项目业绩</w:t>
            </w:r>
          </w:p>
        </w:tc>
        <w:tc>
          <w:tcPr>
            <w:tcW w:type="dxa" w:w="2575"/>
          </w:tcPr>
          <w:p>
            <w:pPr>
              <w:pStyle w:val="null5"/>
              <w:jc w:val="left"/>
            </w:pPr>
            <w:r>
              <w:rPr>
                <w:rFonts w:ascii="仿宋_GB2312" w:hAnsi="仿宋_GB2312" w:cs="仿宋_GB2312" w:eastAsia="仿宋_GB2312"/>
              </w:rPr>
              <w:t>自开标之日起36个月内，供应商每提供1份有效的类似业绩合同得2分，最多得4分。 以合同签订时间为准，响应文件中提供清晰、完整的合同复印件（须加盖供应商公章），否则不作为加分依据。</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案例一览表及证明材料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（1）舜耕校区道路维修工程响应报价低于全部通过符合性审查供应商响应报价平均值50%的，即舜耕校区道路维修工程响应报价&lt;全部通过符合性审查供应商响应报价平均值×50%。 （2）舜耕校区道路维修工程响应报价低于通过符合性审查且报价次低供应商响应报价50%的，即舜耕校区道路维修工程响应报价&lt;通过符合性审查且报价次低供应商响应报价×50%。 （3）舜耕校区道路维修工程响应报价低于最高限价45%的，即舜耕校区道路维修工程响应报价&lt;最高限价×45%。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本项目报价得分采用低价优先法计算，即满足磋商文件要求且最后报价最低的供应商的价格为磋商基准价，其价格分为满分。其他供应商价格分统一按照下列公式计算： 磋商报价得分=（磋商基准价/最后磋商报价）×20%×100。结果按四舍五入方法精确到小数点后两位。 备注：报价若超预算，按无效报价处理。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节能环保加分</w:t>
            </w:r>
          </w:p>
        </w:tc>
        <w:tc>
          <w:tcPr>
            <w:tcW w:type="dxa" w:w="2575"/>
          </w:tcPr>
          <w:p>
            <w:pPr>
              <w:pStyle w:val="null5"/>
              <w:jc w:val="left"/>
            </w:pPr>
            <w:r>
              <w:rPr>
                <w:rFonts w:ascii="仿宋_GB2312" w:hAnsi="仿宋_GB2312" w:cs="仿宋_GB2312" w:eastAsia="仿宋_GB2312"/>
              </w:rPr>
              <w:t>根据《山东省节能环保产品政府采购评审办法》（鲁财库〔2007〕32号）规定，采用最低评标价法评标的项目，在评标时对节能、环保产品分别给予5%的价格扣除。采用综合评分法评标的项目，在满足基本技术条件的前提下，在价格评标项中，对节能、环保产品分别给予价格评标总分值的5％的加分；在技术评标项中，对节能、环保产品分别给予技术评标总分值的5％的加分。执行政府采购政策对投标报价进行扣除后的评标价格仅用于评标过程的报价得分计算或评标价格的比较，不作为最终的成交价格。响应中需提供优先节能产品（环境标志产品）明细表，并符合制表要求，同时附所投节能产品（环境标志产品）认证证书扫描件，并加盖供应商公章，否则不予价格扣除或价格、技术加分。</w:t>
            </w:r>
          </w:p>
        </w:tc>
        <w:tc>
          <w:tcPr>
            <w:tcW w:type="dxa" w:w="831"/>
          </w:tcPr>
          <w:p>
            <w:pPr>
              <w:pStyle w:val="null5"/>
              <w:jc w:val="center"/>
            </w:pPr>
            <w:r>
              <w:rPr>
                <w:rFonts w:ascii="仿宋_GB2312" w:hAnsi="仿宋_GB2312" w:cs="仿宋_GB2312" w:eastAsia="仿宋_GB2312"/>
              </w:rPr>
              <w:t>7.6000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其他材料</w:t>
            </w:r>
          </w:p>
          <w:p>
            <w:pPr>
              <w:pStyle w:val="null5"/>
              <w:jc w:val="left"/>
            </w:pPr>
            <w:r>
              <w:rPr>
                <w:rFonts w:ascii="仿宋_GB2312" w:hAnsi="仿宋_GB2312" w:cs="仿宋_GB2312" w:eastAsia="仿宋_GB2312"/>
              </w:rPr>
              <w:t>供应商应提交的相关证明材料</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8305"/>
            <w:gridSpan w:val="6"/>
          </w:tcPr>
          <w:p>
            <w:pPr>
              <w:pStyle w:val="null5"/>
              <w:jc w:val="left"/>
            </w:pPr>
            <w:r>
              <w:rPr>
                <w:rFonts w:ascii="仿宋_GB2312" w:hAnsi="仿宋_GB2312" w:cs="仿宋_GB2312" w:eastAsia="仿宋_GB2312"/>
              </w:rPr>
              <w:t xml:space="preserve"> 无</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（1）舜耕校区道路维修工程响应报价低于全部通过符合性审查供应商响应报价平均值50%的，即舜耕校区道路维修工程响应报价&lt;全部通过符合性审查供应商响应报价平均值×50%。</w:t>
              <w:br/>
              <w:t>（2）舜耕校区道路维修工程响应报价低于通过符合性审查且报价次低供应商响应报价50%的，即舜耕校区道路维修工程响应报价&lt;通过符合性审查且报价次低供应商响应报价×50%。</w:t>
              <w:br/>
              <w:t>（3）舜耕校区道路维修工程响应报价低于最高限价45%的，即舜耕校区道路维修工程响应报价&lt;最高限价×45%。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both"/>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both"/>
      </w:pPr>
      <w:r>
        <w:rPr>
          <w:rFonts w:ascii="仿宋_GB2312" w:hAnsi="仿宋_GB2312" w:cs="仿宋_GB2312" w:eastAsia="仿宋_GB2312"/>
        </w:rPr>
        <w:t>一、因情况变化，不再符合规定的竞争性磋商采购方式适用情形的；</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三、在采购过程中符合竞争要求的供应商或者报价未超过采购预算的供应商不足 3 家的。</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pPr>
        <w:pStyle w:val="null5"/>
        <w:ind w:firstLine="480"/>
        <w:jc w:val="both"/>
      </w:pPr>
      <w:r>
        <w:rPr>
          <w:rFonts w:ascii="仿宋_GB2312" w:hAnsi="仿宋_GB2312" w:cs="仿宋_GB2312" w:eastAsia="仿宋_GB2312"/>
        </w:rPr>
        <w:t>二、采购人或者代理机构应当自成交供应商确定之日起 2 个工作日内，在“中国山东政府采购网”上公告成交结果，磋商文件应当随成交结果同时公告。</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both"/>
      </w:pPr>
      <w:r>
        <w:rPr>
          <w:rFonts w:ascii="仿宋_GB2312" w:hAnsi="仿宋_GB2312" w:cs="仿宋_GB2312" w:eastAsia="仿宋_GB2312"/>
        </w:rPr>
        <w:t>磋商小组在政府采购活动中应当履行下列义务：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both"/>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both"/>
      </w:pPr>
      <w:r>
        <w:rPr>
          <w:rFonts w:ascii="仿宋_GB2312" w:hAnsi="仿宋_GB2312" w:cs="仿宋_GB2312" w:eastAsia="仿宋_GB2312"/>
        </w:rPr>
        <w:t>磋商小组成员在政府采购活动中应当遵守下列工作纪律：</w:t>
      </w:r>
    </w:p>
    <w:p>
      <w:pPr>
        <w:pStyle w:val="null5"/>
        <w:ind w:firstLine="480"/>
        <w:jc w:val="both"/>
      </w:pPr>
      <w:r>
        <w:rPr>
          <w:rFonts w:ascii="仿宋_GB2312" w:hAnsi="仿宋_GB2312" w:cs="仿宋_GB2312" w:eastAsia="仿宋_GB2312"/>
        </w:rPr>
        <w:t>一、严格遵守政府采购法律制度关于磋商小组成员回避的规定。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详见附件：案例一览表及证明材料</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详见附件：投标保证金缴纳证明材料</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详见附件：项目管理人员情况表</w:t>
      </w:r>
    </w:p>
    <w:p>
      <w:pPr>
        <w:pStyle w:val="null5"/>
        <w:ind w:firstLine="960"/>
        <w:jc w:val="left"/>
      </w:pPr>
      <w:r>
        <w:rPr>
          <w:rFonts w:ascii="仿宋_GB2312" w:hAnsi="仿宋_GB2312" w:cs="仿宋_GB2312" w:eastAsia="仿宋_GB2312"/>
        </w:rPr>
        <w:t>详见附件：技术参数响应表</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详见附件：合同附件工程.docx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